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0"/>
        <w:ind w:left="0"/>
        <w:jc w:val="right"/>
        <w:spacing w:before="0"/>
        <w:rPr>
          <w:spacing w:val="-6"/>
        </w:rPr>
      </w:pPr>
      <w:r>
        <w:rPr>
          <w:spacing w:val="-6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-100964</wp:posOffset>
                </wp:positionH>
                <wp:positionV relativeFrom="paragraph">
                  <wp:posOffset>-113664</wp:posOffset>
                </wp:positionV>
                <wp:extent cx="693420" cy="3657600"/>
                <wp:effectExtent l="0" t="0" r="0" b="0"/>
                <wp:wrapNone/>
                <wp:docPr id="1" name="_x0000_s1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93420" cy="36576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38100">
                          <a:solidFill>
                            <a:srgbClr val="F2F2F2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text;margin-left:-7.95pt;mso-position-horizontal:absolute;mso-position-vertical-relative:text;margin-top:-8.95pt;mso-position-vertical:absolute;width:54.60pt;height:288.00pt;mso-wrap-distance-left:9.00pt;mso-wrap-distance-top:0.00pt;mso-wrap-distance-right:9.00pt;mso-wrap-distance-bottom:0.00pt;visibility:visible;" fillcolor="#7F7F7F" strokecolor="#F2F2F2" strokeweight="3.00pt"/>
            </w:pict>
          </mc:Fallback>
        </mc:AlternateContent>
      </w:r>
      <w:r>
        <w:rPr>
          <w:spacing w:val="-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00200" cy="423672"/>
                <wp:effectExtent l="0" t="0" r="0" b="0"/>
                <wp:docPr id="2" name="_x0000_i142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600200" cy="423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26.00pt;height:33.3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0"/>
        <w:spacing w:before="3"/>
        <w:rPr>
          <w:spacing w:val="-6"/>
        </w:rPr>
      </w:pPr>
      <w:r>
        <w:rPr>
          <w:spacing w:val="-6"/>
        </w:rPr>
      </w:r>
      <w:r>
        <w:rPr>
          <w:spacing w:val="-6"/>
        </w:rPr>
      </w:r>
    </w:p>
    <w:p>
      <w:pPr>
        <w:pStyle w:val="634"/>
        <w:rPr>
          <w:rFonts w:ascii="Arial" w:hAnsi="Arial" w:cs="Arial"/>
          <w:spacing w:val="-6"/>
          <w:sz w:val="12"/>
          <w:szCs w:val="12"/>
        </w:rPr>
      </w:pPr>
      <w:r>
        <w:rPr>
          <w:rFonts w:ascii="Arial" w:hAnsi="Arial" w:cs="Arial"/>
          <w:spacing w:val="-6"/>
          <w:sz w:val="12"/>
          <w:szCs w:val="12"/>
        </w:rPr>
        <w:t xml:space="preserve"> </w:t>
      </w:r>
      <w:r>
        <w:rPr>
          <w:rFonts w:ascii="Arial" w:hAnsi="Arial" w:cs="Arial"/>
          <w:spacing w:val="-6"/>
          <w:sz w:val="12"/>
          <w:szCs w:val="12"/>
        </w:rPr>
      </w:r>
      <w:r>
        <w:rPr>
          <w:rFonts w:ascii="Arial" w:hAnsi="Arial" w:cs="Arial"/>
          <w:spacing w:val="-6"/>
          <w:sz w:val="12"/>
          <w:szCs w:val="12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bidi="ar-SA"/>
        </w:rPr>
        <w:t xml:space="preserve">              </w:t>
      </w:r>
      <w:r>
        <w:rPr>
          <w:spacing w:val="-6"/>
          <w:lang w:bidi="ar-SA"/>
        </w:rPr>
        <w:t xml:space="preserve">          </w:t>
      </w: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 w:bidi="ar-SA"/>
        </w:rPr>
      </w:pPr>
      <w:r>
        <w:rPr>
          <w:spacing w:val="-6"/>
          <w:lang w:val="en-US" w:bidi="ar-SA"/>
        </w:rPr>
      </w:r>
      <w:r>
        <w:rPr>
          <w:spacing w:val="-6"/>
          <w:lang w:val="en-US" w:bidi="ar-SA"/>
        </w:rPr>
      </w:r>
    </w:p>
    <w:p>
      <w:pPr>
        <w:pStyle w:val="640"/>
        <w:ind w:left="0"/>
        <w:jc w:val="center"/>
        <w:spacing w:before="5"/>
        <w:rPr>
          <w:spacing w:val="-6"/>
          <w:lang w:val="en-US"/>
        </w:rPr>
      </w:pPr>
      <w:r>
        <w:rPr>
          <w:spacing w:val="-6"/>
          <w:lang w:val="en-US"/>
        </w:rPr>
      </w:r>
      <w:r>
        <w:rPr>
          <w:spacing w:val="-6"/>
          <w:lang w:val="en-US"/>
        </w:rPr>
      </w:r>
    </w:p>
    <w:p>
      <w:pPr>
        <w:pStyle w:val="640"/>
        <w:ind w:left="0" w:firstLine="1276"/>
        <w:jc w:val="right"/>
        <w:spacing w:before="5"/>
        <w:rPr>
          <w:spacing w:val="-6"/>
        </w:rPr>
      </w:pPr>
      <w:r>
        <w:rPr>
          <w:spacing w:val="-6"/>
        </w:rPr>
      </w:r>
      <w:r>
        <w:rPr>
          <w:spacing w:val="-6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100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993" w:right="338" w:firstLine="1276"/>
        <w:jc w:val="right"/>
        <w:spacing w:before="18"/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33"/>
        <w:ind w:left="2433" w:firstLine="447"/>
        <w:rPr>
          <w:rStyle w:val="651"/>
          <w:rFonts w:ascii="Arial" w:hAnsi="Arial" w:cs="Arial"/>
          <w:spacing w:val="-6"/>
          <w:sz w:val="12"/>
          <w:szCs w:val="12"/>
        </w:rPr>
      </w:pPr>
      <w:r>
        <w:rPr>
          <w:rStyle w:val="651"/>
          <w:rFonts w:ascii="Arial" w:hAnsi="Arial" w:cs="Arial"/>
          <w:spacing w:val="-6"/>
          <w:sz w:val="12"/>
          <w:szCs w:val="12"/>
        </w:rPr>
        <w:t xml:space="preserve">     ПАСПОРТ</w:t>
      </w:r>
      <w:r>
        <w:rPr>
          <w:rStyle w:val="651"/>
          <w:rFonts w:ascii="Arial" w:hAnsi="Arial" w:cs="Arial"/>
          <w:spacing w:val="-6"/>
          <w:sz w:val="12"/>
          <w:szCs w:val="12"/>
        </w:rPr>
      </w:r>
    </w:p>
    <w:p>
      <w:pPr>
        <w:pStyle w:val="633"/>
        <w:ind w:left="993"/>
        <w:rPr>
          <w:rStyle w:val="652"/>
          <w:rFonts w:ascii="Arial" w:hAnsi="Arial" w:cs="Arial"/>
          <w:spacing w:val="-6"/>
          <w:sz w:val="12"/>
          <w:szCs w:val="12"/>
        </w:rPr>
      </w:pPr>
      <w:r>
        <w:rPr>
          <w:rStyle w:val="652"/>
          <w:rFonts w:ascii="Arial" w:hAnsi="Arial" w:cs="Arial"/>
          <w:spacing w:val="-6"/>
          <w:sz w:val="12"/>
          <w:szCs w:val="12"/>
        </w:rPr>
        <w:t xml:space="preserve">Ограничители импульсных перенапряжений </w:t>
      </w:r>
      <w:r>
        <w:rPr>
          <w:rStyle w:val="652"/>
          <w:rFonts w:ascii="Arial" w:hAnsi="Arial" w:cs="Arial"/>
          <w:spacing w:val="-6"/>
          <w:sz w:val="12"/>
          <w:szCs w:val="12"/>
        </w:rPr>
        <w:t xml:space="preserve">серии </w:t>
      </w:r>
      <w:r>
        <w:rPr>
          <w:rStyle w:val="652"/>
          <w:rFonts w:ascii="Arial" w:hAnsi="Arial" w:cs="Arial"/>
          <w:spacing w:val="-6"/>
          <w:sz w:val="12"/>
          <w:szCs w:val="12"/>
        </w:rPr>
        <w:t xml:space="preserve">ОПС-1 (</w:t>
      </w:r>
      <w:r>
        <w:rPr>
          <w:rStyle w:val="652"/>
          <w:rFonts w:ascii="Arial" w:hAnsi="Arial" w:cs="Arial"/>
          <w:spacing w:val="-6"/>
          <w:sz w:val="12"/>
          <w:szCs w:val="12"/>
          <w:lang w:val="en-US"/>
        </w:rPr>
        <w:t xml:space="preserve">TGDY</w:t>
      </w:r>
      <w:r>
        <w:rPr>
          <w:rStyle w:val="652"/>
          <w:rFonts w:ascii="Arial" w:hAnsi="Arial" w:cs="Arial"/>
          <w:spacing w:val="-6"/>
          <w:sz w:val="12"/>
          <w:szCs w:val="12"/>
        </w:rPr>
        <w:t xml:space="preserve">55</w:t>
      </w:r>
      <w:r>
        <w:rPr>
          <w:rStyle w:val="652"/>
          <w:rFonts w:ascii="Arial" w:hAnsi="Arial" w:cs="Arial"/>
          <w:spacing w:val="-6"/>
          <w:sz w:val="12"/>
          <w:szCs w:val="12"/>
          <w:lang w:val="en-US"/>
        </w:rPr>
        <w:t xml:space="preserve">II</w:t>
      </w:r>
      <w:r>
        <w:rPr>
          <w:rStyle w:val="652"/>
          <w:rFonts w:ascii="Arial" w:hAnsi="Arial" w:cs="Arial"/>
          <w:spacing w:val="-6"/>
          <w:sz w:val="12"/>
          <w:szCs w:val="12"/>
        </w:rPr>
        <w:t xml:space="preserve">)</w:t>
      </w:r>
      <w:r>
        <w:rPr>
          <w:rStyle w:val="652"/>
          <w:rFonts w:ascii="Arial" w:hAnsi="Arial" w:cs="Arial"/>
          <w:spacing w:val="-6"/>
          <w:sz w:val="12"/>
          <w:szCs w:val="12"/>
        </w:rPr>
      </w:r>
      <w:r>
        <w:rPr>
          <w:rStyle w:val="652"/>
          <w:rFonts w:ascii="Arial" w:hAnsi="Arial" w:cs="Arial"/>
          <w:spacing w:val="-6"/>
          <w:sz w:val="12"/>
          <w:szCs w:val="12"/>
        </w:rPr>
      </w:r>
    </w:p>
    <w:p>
      <w:pPr>
        <w:pStyle w:val="634"/>
        <w:ind w:left="993" w:right="338" w:firstLine="283"/>
        <w:jc w:val="center"/>
        <w:spacing w:before="1" w:line="247" w:lineRule="auto"/>
        <w:rPr>
          <w:rFonts w:ascii="Arial" w:hAnsi="Arial" w:cs="Arial"/>
          <w:spacing w:val="-6"/>
          <w:sz w:val="12"/>
          <w:szCs w:val="12"/>
        </w:rPr>
        <w:sectPr>
          <w:footnotePr/>
          <w:endnotePr/>
          <w:type w:val="continuous"/>
          <w:pgSz w:w="4200" w:h="5960" w:orient="portrait"/>
          <w:pgMar w:top="284" w:right="220" w:bottom="280" w:left="240" w:header="720" w:footer="720" w:gutter="0"/>
          <w:cols w:num="1" w:sep="0" w:space="720" w:equalWidth="1"/>
          <w:docGrid w:linePitch="360"/>
        </w:sectPr>
      </w:pPr>
      <w:r>
        <w:rPr>
          <w:rFonts w:ascii="Arial" w:hAnsi="Arial" w:cs="Arial"/>
          <w:spacing w:val="-6"/>
          <w:sz w:val="12"/>
          <w:szCs w:val="12"/>
        </w:rPr>
      </w:r>
      <w:r>
        <w:rPr>
          <w:rFonts w:ascii="Arial" w:hAnsi="Arial" w:cs="Arial"/>
          <w:spacing w:val="-6"/>
          <w:sz w:val="12"/>
          <w:szCs w:val="12"/>
        </w:rPr>
      </w:r>
    </w:p>
    <w:p>
      <w:pPr>
        <w:pStyle w:val="635"/>
        <w:numPr>
          <w:ilvl w:val="0"/>
          <w:numId w:val="2"/>
        </w:numPr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НАЗНАЧЕНИЕ</w:t>
      </w:r>
      <w:r>
        <w:rPr>
          <w:spacing w:val="-6"/>
        </w:rPr>
      </w:r>
      <w:r>
        <w:rPr>
          <w:spacing w:val="-6"/>
        </w:rPr>
      </w:r>
    </w:p>
    <w:p>
      <w:pPr>
        <w:pStyle w:val="665"/>
        <w:ind w:firstLine="79"/>
        <w:jc w:val="both"/>
        <w:rPr>
          <w:rFonts w:ascii="Arial Narrow" w:hAnsi="Arial Narrow"/>
          <w:sz w:val="12"/>
          <w:szCs w:val="12"/>
          <w:lang w:val="en-US"/>
        </w:rPr>
      </w:pPr>
      <w:r>
        <w:rPr>
          <w:rFonts w:ascii="Arial Narrow" w:hAnsi="Arial Narrow"/>
          <w:sz w:val="12"/>
          <w:szCs w:val="12"/>
        </w:rPr>
        <w:t xml:space="preserve">Изделие серии ОП</w:t>
      </w:r>
      <w:r>
        <w:rPr>
          <w:rFonts w:ascii="Arial Narrow" w:hAnsi="Arial Narrow"/>
          <w:sz w:val="12"/>
          <w:szCs w:val="12"/>
          <w:lang w:val="en-US"/>
        </w:rPr>
        <w:t xml:space="preserve">C</w:t>
      </w:r>
      <w:r>
        <w:rPr>
          <w:rFonts w:ascii="Arial Narrow" w:hAnsi="Arial Narrow"/>
          <w:sz w:val="12"/>
          <w:szCs w:val="12"/>
        </w:rPr>
        <w:t xml:space="preserve">-1 является устройством защи</w:t>
      </w:r>
      <w:r>
        <w:rPr>
          <w:rFonts w:ascii="Arial Narrow" w:hAnsi="Arial Narrow"/>
          <w:sz w:val="12"/>
          <w:szCs w:val="12"/>
        </w:rPr>
        <w:t xml:space="preserve">ты от импульсных перенапряжений</w:t>
      </w:r>
      <w:r>
        <w:rPr>
          <w:rFonts w:ascii="Arial Narrow" w:hAnsi="Arial Narrow"/>
          <w:sz w:val="12"/>
          <w:szCs w:val="12"/>
        </w:rPr>
        <w:t xml:space="preserve">, ограничения переходных перенапряжений и защиты от грозовых импульсов тока в сетях 230/400 В переменного тока частоты 50 Гц.</w:t>
      </w:r>
      <w:r>
        <w:rPr>
          <w:rFonts w:ascii="Arial Narrow" w:hAnsi="Arial Narrow"/>
          <w:sz w:val="12"/>
          <w:szCs w:val="12"/>
          <w:lang w:val="en-US"/>
        </w:rPr>
      </w:r>
      <w:r>
        <w:rPr>
          <w:rFonts w:ascii="Arial Narrow" w:hAnsi="Arial Narrow"/>
          <w:sz w:val="12"/>
          <w:szCs w:val="12"/>
          <w:lang w:val="en-US"/>
        </w:rPr>
      </w:r>
    </w:p>
    <w:p>
      <w:pPr>
        <w:pStyle w:val="665"/>
        <w:ind w:firstLine="79"/>
        <w:jc w:val="both"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 Ограничитель защищает линии питания от: </w:t>
      </w:r>
      <w:r>
        <w:rPr>
          <w:rFonts w:ascii="Arial Narrow" w:hAnsi="Arial Narrow"/>
          <w:sz w:val="12"/>
          <w:szCs w:val="12"/>
        </w:rPr>
      </w:r>
    </w:p>
    <w:p>
      <w:pPr>
        <w:pStyle w:val="665"/>
        <w:ind w:firstLine="80"/>
        <w:jc w:val="both"/>
        <w:rPr>
          <w:rFonts w:ascii="Arial Narrow" w:hAnsi="Arial Narrow"/>
          <w:sz w:val="12"/>
          <w:szCs w:val="12"/>
          <w:lang w:val="en-US"/>
        </w:rPr>
      </w:pPr>
      <w:r>
        <w:rPr>
          <w:rFonts w:ascii="Arial Narrow" w:hAnsi="Arial Narrow"/>
          <w:sz w:val="12"/>
          <w:szCs w:val="12"/>
        </w:rPr>
        <w:t xml:space="preserve">1. Грозовых перенапряжений электроустановок, возникающих при попадании молнии в инфраструктуру объекта, при удаленном ударе молнии (внутри облака, между облаками или в находящиеся вблизи объекты), при ударе молнии в грунт; </w:t>
      </w:r>
      <w:r>
        <w:rPr>
          <w:rFonts w:ascii="Arial Narrow" w:hAnsi="Arial Narrow"/>
          <w:sz w:val="12"/>
          <w:szCs w:val="12"/>
          <w:lang w:val="en-US"/>
        </w:rPr>
      </w:r>
      <w:r>
        <w:rPr>
          <w:rFonts w:ascii="Arial Narrow" w:hAnsi="Arial Narrow"/>
          <w:sz w:val="12"/>
          <w:szCs w:val="12"/>
          <w:lang w:val="en-US"/>
        </w:rPr>
      </w:r>
    </w:p>
    <w:p>
      <w:pPr>
        <w:pStyle w:val="665"/>
        <w:ind w:firstLine="80"/>
        <w:jc w:val="both"/>
        <w:rPr>
          <w:rFonts w:ascii="Arial Narrow" w:hAnsi="Arial Narrow"/>
          <w:sz w:val="12"/>
          <w:szCs w:val="12"/>
          <w:lang w:val="en-US"/>
        </w:rPr>
      </w:pPr>
      <w:r>
        <w:rPr>
          <w:rFonts w:ascii="Arial Narrow" w:hAnsi="Arial Narrow"/>
          <w:sz w:val="12"/>
          <w:szCs w:val="12"/>
        </w:rPr>
        <w:t xml:space="preserve">2. Коммутационных перенапряжений электроустановок, появляющихся в результате:</w:t>
      </w:r>
      <w:r>
        <w:rPr>
          <w:rFonts w:ascii="Arial Narrow" w:hAnsi="Arial Narrow"/>
          <w:sz w:val="12"/>
          <w:szCs w:val="12"/>
          <w:lang w:val="en-US"/>
        </w:rPr>
      </w:r>
      <w:r>
        <w:rPr>
          <w:rFonts w:ascii="Arial Narrow" w:hAnsi="Arial Narrow"/>
          <w:sz w:val="12"/>
          <w:szCs w:val="12"/>
          <w:lang w:val="en-US"/>
        </w:rPr>
      </w:r>
    </w:p>
    <w:p>
      <w:pPr>
        <w:pStyle w:val="665"/>
        <w:ind w:firstLine="80"/>
        <w:jc w:val="both"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– переключений в мощных системах энергоснабжения; </w:t>
      </w:r>
      <w:r>
        <w:rPr>
          <w:rFonts w:ascii="Arial Narrow" w:hAnsi="Arial Narrow"/>
          <w:sz w:val="12"/>
          <w:szCs w:val="12"/>
        </w:rPr>
      </w:r>
    </w:p>
    <w:p>
      <w:pPr>
        <w:pStyle w:val="665"/>
        <w:ind w:firstLine="80"/>
        <w:jc w:val="both"/>
        <w:rPr>
          <w:rFonts w:ascii="Arial Narrow" w:hAnsi="Arial Narrow"/>
          <w:sz w:val="12"/>
          <w:szCs w:val="12"/>
          <w:lang w:val="en-US"/>
        </w:rPr>
      </w:pPr>
      <w:r>
        <w:rPr>
          <w:rFonts w:ascii="Arial Narrow" w:hAnsi="Arial Narrow"/>
          <w:sz w:val="12"/>
          <w:szCs w:val="12"/>
        </w:rPr>
        <w:t xml:space="preserve">– переключений в системах электроснабжения в непосредственной близости от электроустановок; </w:t>
      </w:r>
      <w:r>
        <w:rPr>
          <w:rFonts w:ascii="Arial Narrow" w:hAnsi="Arial Narrow"/>
          <w:sz w:val="12"/>
          <w:szCs w:val="12"/>
          <w:lang w:val="en-US"/>
        </w:rPr>
      </w:r>
      <w:r>
        <w:rPr>
          <w:rFonts w:ascii="Arial Narrow" w:hAnsi="Arial Narrow"/>
          <w:sz w:val="12"/>
          <w:szCs w:val="12"/>
          <w:lang w:val="en-US"/>
        </w:rPr>
      </w:r>
    </w:p>
    <w:p>
      <w:pPr>
        <w:pStyle w:val="665"/>
        <w:ind w:firstLine="80"/>
        <w:jc w:val="both"/>
        <w:rPr>
          <w:rFonts w:ascii="Arial Narrow" w:hAnsi="Arial Narrow"/>
          <w:sz w:val="12"/>
          <w:szCs w:val="12"/>
          <w:lang w:val="en-US"/>
        </w:rPr>
      </w:pPr>
      <w:r>
        <w:rPr>
          <w:rFonts w:ascii="Arial Narrow" w:hAnsi="Arial Narrow"/>
          <w:sz w:val="12"/>
          <w:szCs w:val="12"/>
        </w:rPr>
        <w:t xml:space="preserve">– резонансных колебаний напряжения в электрических схемах; </w:t>
      </w:r>
      <w:r>
        <w:rPr>
          <w:rFonts w:ascii="Arial Narrow" w:hAnsi="Arial Narrow"/>
          <w:sz w:val="12"/>
          <w:szCs w:val="12"/>
          <w:lang w:val="en-US"/>
        </w:rPr>
      </w:r>
      <w:r>
        <w:rPr>
          <w:rFonts w:ascii="Arial Narrow" w:hAnsi="Arial Narrow"/>
          <w:sz w:val="12"/>
          <w:szCs w:val="12"/>
          <w:lang w:val="en-US"/>
        </w:rPr>
      </w:r>
    </w:p>
    <w:p>
      <w:pPr>
        <w:pStyle w:val="665"/>
        <w:ind w:firstLine="80"/>
        <w:jc w:val="both"/>
        <w:rPr>
          <w:rFonts w:ascii="Arial Narrow" w:hAnsi="Arial Narrow"/>
          <w:sz w:val="12"/>
          <w:szCs w:val="12"/>
          <w:lang w:val="en-US"/>
        </w:rPr>
      </w:pPr>
      <w:r>
        <w:rPr>
          <w:rFonts w:ascii="Arial Narrow" w:hAnsi="Arial Narrow"/>
          <w:sz w:val="12"/>
          <w:szCs w:val="12"/>
        </w:rPr>
        <w:t xml:space="preserve">– повреждений в системах, например при КЗ на землю, дуговых разрядах. </w:t>
      </w:r>
      <w:r>
        <w:rPr>
          <w:rFonts w:ascii="Arial Narrow" w:hAnsi="Arial Narrow"/>
          <w:sz w:val="12"/>
          <w:szCs w:val="12"/>
          <w:lang w:val="en-US"/>
        </w:rPr>
      </w:r>
      <w:r>
        <w:rPr>
          <w:rFonts w:ascii="Arial Narrow" w:hAnsi="Arial Narrow"/>
          <w:sz w:val="12"/>
          <w:szCs w:val="12"/>
          <w:lang w:val="en-US"/>
        </w:rPr>
      </w:r>
    </w:p>
    <w:p>
      <w:pPr>
        <w:pStyle w:val="633"/>
        <w:jc w:val="right"/>
        <w:rPr>
          <w:rFonts w:ascii="Arial Narrow" w:hAnsi="Arial Narrow"/>
          <w:sz w:val="12"/>
          <w:szCs w:val="12"/>
          <w:lang w:bidi="ar-SA"/>
        </w:rPr>
      </w:pPr>
      <w:r>
        <w:rPr>
          <w:rFonts w:ascii="Arial Narrow" w:hAnsi="Arial Narrow"/>
          <w:sz w:val="12"/>
          <w:szCs w:val="12"/>
          <w:lang w:bidi="ar-SA"/>
        </w:rPr>
        <w:t xml:space="preserve">Таблица 1.</w:t>
      </w:r>
      <w:r>
        <w:rPr>
          <w:rFonts w:ascii="Arial Narrow" w:hAnsi="Arial Narrow"/>
          <w:sz w:val="12"/>
          <w:szCs w:val="12"/>
          <w:lang w:bidi="ar-SA"/>
        </w:rPr>
      </w:r>
      <w:r>
        <w:rPr>
          <w:rFonts w:ascii="Arial Narrow" w:hAnsi="Arial Narrow"/>
          <w:sz w:val="12"/>
          <w:szCs w:val="12"/>
          <w:lang w:bidi="ar-SA"/>
        </w:rPr>
      </w:r>
    </w:p>
    <w:tbl>
      <w:tblPr>
        <w:tblW w:w="3686" w:type="dxa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40" w:type="dxa"/>
          <w:top w:w="0" w:type="dxa"/>
          <w:right w:w="40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2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56"/>
              <w:widowControl/>
              <w:rPr>
                <w:rStyle w:val="659"/>
                <w:rFonts w:ascii="Arial" w:hAnsi="Arial" w:cs="Arial"/>
                <w:spacing w:val="-6"/>
                <w:szCs w:val="12"/>
              </w:rPr>
            </w:pPr>
            <w:r>
              <w:rPr>
                <w:rStyle w:val="659"/>
                <w:rFonts w:ascii="Arial" w:hAnsi="Arial" w:cs="Arial"/>
                <w:spacing w:val="-6"/>
                <w:szCs w:val="12"/>
              </w:rPr>
              <w:t xml:space="preserve">Класс ОПС -1</w:t>
            </w:r>
            <w:r>
              <w:rPr>
                <w:rStyle w:val="659"/>
                <w:rFonts w:ascii="Arial" w:hAnsi="Arial" w:cs="Arial"/>
                <w:spacing w:val="-6"/>
                <w:szCs w:val="12"/>
              </w:rPr>
            </w:r>
            <w:r>
              <w:rPr>
                <w:rStyle w:val="659"/>
                <w:rFonts w:ascii="Arial" w:hAnsi="Arial" w:cs="Arial"/>
                <w:spacing w:val="-6"/>
                <w:szCs w:val="12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widowControl/>
              <w:rPr>
                <w:rStyle w:val="659"/>
                <w:rFonts w:ascii="Arial" w:hAnsi="Arial" w:cs="Arial"/>
                <w:spacing w:val="-6"/>
                <w:szCs w:val="12"/>
              </w:rPr>
            </w:pPr>
            <w:r>
              <w:rPr>
                <w:rStyle w:val="659"/>
                <w:rFonts w:ascii="Arial" w:hAnsi="Arial" w:cs="Arial"/>
                <w:spacing w:val="-6"/>
                <w:szCs w:val="12"/>
              </w:rPr>
              <w:t xml:space="preserve">Описание</w:t>
            </w:r>
            <w:r>
              <w:rPr>
                <w:rStyle w:val="659"/>
                <w:rFonts w:ascii="Arial" w:hAnsi="Arial" w:cs="Arial"/>
                <w:spacing w:val="-6"/>
                <w:szCs w:val="12"/>
              </w:rPr>
            </w:r>
            <w:r>
              <w:rPr>
                <w:rStyle w:val="659"/>
                <w:rFonts w:ascii="Arial" w:hAnsi="Arial" w:cs="Arial"/>
                <w:spacing w:val="-6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1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Cs w:val="12"/>
              </w:rPr>
            </w:pPr>
            <w:r>
              <w:rPr>
                <w:rStyle w:val="660"/>
                <w:rFonts w:ascii="Arial" w:hAnsi="Arial" w:cs="Arial"/>
                <w:spacing w:val="-6"/>
                <w:szCs w:val="12"/>
              </w:rPr>
              <w:t xml:space="preserve">В</w:t>
            </w:r>
            <w:r>
              <w:rPr>
                <w:rStyle w:val="660"/>
                <w:rFonts w:ascii="Arial" w:hAnsi="Arial" w:cs="Arial"/>
                <w:spacing w:val="-6"/>
                <w:szCs w:val="12"/>
              </w:rPr>
            </w:r>
            <w:r>
              <w:rPr>
                <w:rStyle w:val="660"/>
                <w:rFonts w:ascii="Arial" w:hAnsi="Arial" w:cs="Arial"/>
                <w:spacing w:val="-6"/>
                <w:szCs w:val="12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57"/>
              <w:jc w:val="both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Защита от наведенных импульсов при прямых ударах молнии в систему молниезащиты здания или ЛЭП. Устанавливаются в главном распределительном щите.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Cs w:val="12"/>
              </w:rPr>
            </w:pPr>
            <w:r>
              <w:rPr>
                <w:rStyle w:val="660"/>
                <w:rFonts w:ascii="Arial" w:hAnsi="Arial" w:cs="Arial"/>
                <w:spacing w:val="-6"/>
                <w:szCs w:val="12"/>
              </w:rPr>
              <w:t xml:space="preserve">С</w:t>
            </w:r>
            <w:r>
              <w:rPr>
                <w:rStyle w:val="660"/>
                <w:rFonts w:ascii="Arial" w:hAnsi="Arial" w:cs="Arial"/>
                <w:spacing w:val="-6"/>
                <w:szCs w:val="12"/>
              </w:rPr>
            </w:r>
            <w:r>
              <w:rPr>
                <w:rStyle w:val="660"/>
                <w:rFonts w:ascii="Arial" w:hAnsi="Arial" w:cs="Arial"/>
                <w:spacing w:val="-6"/>
                <w:szCs w:val="12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57"/>
              <w:jc w:val="both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Защита токораспределительной сети объекта от коммутационных помех или как вторая ступень защиты при ударе молнии. Устанавливаются в распределительные щиты.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Cs w:val="12"/>
                <w:lang w:val="en-US"/>
              </w:rPr>
            </w:pPr>
            <w:r>
              <w:rPr>
                <w:rStyle w:val="660"/>
                <w:rFonts w:ascii="Arial" w:hAnsi="Arial" w:cs="Arial"/>
                <w:spacing w:val="-6"/>
                <w:szCs w:val="12"/>
                <w:lang w:val="en-US"/>
              </w:rPr>
              <w:t xml:space="preserve">D</w:t>
            </w:r>
            <w:r>
              <w:rPr>
                <w:rStyle w:val="660"/>
                <w:rFonts w:ascii="Arial" w:hAnsi="Arial" w:cs="Arial"/>
                <w:spacing w:val="-6"/>
                <w:szCs w:val="12"/>
                <w:lang w:val="en-US"/>
              </w:rPr>
            </w:r>
            <w:r>
              <w:rPr>
                <w:rStyle w:val="660"/>
                <w:rFonts w:ascii="Arial" w:hAnsi="Arial" w:cs="Arial"/>
                <w:spacing w:val="-6"/>
                <w:szCs w:val="12"/>
                <w:lang w:val="en-US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57"/>
              <w:jc w:val="both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Защита потребителей от остаточных бросков напряжений, защита от дифференциальных (несимметричных) перенапряжений, фильтрация высокочастотных помех. Устанавливаются непосредственно возле потребителя.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</w:tbl>
    <w:p>
      <w:pPr>
        <w:pStyle w:val="633"/>
        <w:rPr>
          <w:rFonts w:ascii="Arial Narrow" w:hAnsi="Arial Narrow"/>
          <w:sz w:val="12"/>
          <w:szCs w:val="12"/>
          <w:lang w:bidi="ar-SA"/>
        </w:rPr>
      </w:pPr>
      <w:r>
        <w:rPr>
          <w:rFonts w:ascii="Arial Narrow" w:hAnsi="Arial Narrow"/>
          <w:sz w:val="12"/>
          <w:szCs w:val="12"/>
          <w:lang w:bidi="ar-SA"/>
        </w:rPr>
      </w:r>
      <w:r>
        <w:rPr>
          <w:rFonts w:ascii="Arial Narrow" w:hAnsi="Arial Narrow"/>
          <w:sz w:val="12"/>
          <w:szCs w:val="12"/>
          <w:lang w:bidi="ar-SA"/>
        </w:rPr>
      </w:r>
    </w:p>
    <w:p>
      <w:pPr>
        <w:pStyle w:val="635"/>
        <w:numPr>
          <w:ilvl w:val="0"/>
          <w:numId w:val="2"/>
        </w:numPr>
        <w:jc w:val="both"/>
        <w:spacing w:before="58"/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ТЕХНИЧЕСКИЕ ХАРАКТЕРИСТИКИ</w: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156"/>
        <w:jc w:val="both"/>
        <w:rPr>
          <w:spacing w:val="-6"/>
        </w:rPr>
      </w:pPr>
      <w:r>
        <w:rPr>
          <w:spacing w:val="-6"/>
        </w:rPr>
        <w:t xml:space="preserve">Основные технические характеристики п</w:t>
      </w:r>
      <w:r>
        <w:rPr>
          <w:spacing w:val="-6"/>
        </w:rPr>
        <w:t xml:space="preserve">риведены в таблице </w:t>
      </w:r>
      <w:r>
        <w:rPr>
          <w:spacing w:val="-6"/>
        </w:rPr>
        <w:t xml:space="preserve">2</w: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0" w:right="118"/>
        <w:jc w:val="right"/>
        <w:spacing w:before="50" w:after="38"/>
        <w:rPr>
          <w:spacing w:val="-6"/>
          <w:sz w:val="10"/>
          <w:lang w:val="en-US"/>
        </w:rPr>
      </w:pPr>
      <w:r>
        <w:rPr>
          <w:spacing w:val="-6"/>
          <w:sz w:val="10"/>
        </w:rPr>
        <w:t xml:space="preserve">Таблица </w:t>
      </w:r>
      <w:r>
        <w:rPr>
          <w:spacing w:val="-6"/>
          <w:sz w:val="10"/>
          <w:lang w:val="en-US"/>
        </w:rPr>
        <w:t xml:space="preserve">2</w:t>
      </w:r>
      <w:r>
        <w:rPr>
          <w:spacing w:val="-6"/>
          <w:sz w:val="10"/>
          <w:lang w:val="en-US"/>
        </w:rPr>
      </w:r>
      <w:r>
        <w:rPr>
          <w:spacing w:val="-6"/>
          <w:sz w:val="10"/>
          <w:lang w:val="en-US"/>
        </w:rPr>
      </w:r>
    </w:p>
    <w:tbl>
      <w:tblPr>
        <w:tblW w:w="3686" w:type="dxa"/>
        <w:tblInd w:w="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40" w:type="dxa"/>
          <w:top w:w="0" w:type="dxa"/>
          <w:right w:w="40" w:type="dxa"/>
          <w:bottom w:w="0" w:type="dxa"/>
        </w:tblCellMar>
        <w:tblLook w:val="04A0" w:firstRow="1" w:lastRow="0" w:firstColumn="1" w:lastColumn="0" w:noHBand="0" w:noVBand="1"/>
      </w:tblPr>
      <w:tblGrid>
        <w:gridCol w:w="2410"/>
        <w:gridCol w:w="425"/>
        <w:gridCol w:w="426"/>
        <w:gridCol w:w="4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vMerge w:val="restart"/>
            <w:textDirection w:val="lrTb"/>
            <w:noWrap w:val="false"/>
          </w:tcPr>
          <w:p>
            <w:pPr>
              <w:pStyle w:val="656"/>
              <w:widowControl/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pP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  <w:t xml:space="preserve">Параметры</w:t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widowControl/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pP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  <w:t xml:space="preserve">Значения</w:t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  <w:t xml:space="preserve"> </w:t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vMerge w:val="continue"/>
            <w:textDirection w:val="lrTb"/>
            <w:noWrap w:val="false"/>
          </w:tcPr>
          <w:p>
            <w:pPr>
              <w:pStyle w:val="656"/>
              <w:widowControl/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pP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widowControl/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</w:pP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  <w:t xml:space="preserve">B</w:t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</w:r>
          </w:p>
        </w:tc>
        <w:tc>
          <w:tcPr>
            <w:tcW w:w="426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widowControl/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</w:pP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  <w:t xml:space="preserve">C</w:t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widowControl/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</w:pP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  <w:t xml:space="preserve">D</w:t>
            </w:r>
            <w:r>
              <w:rPr>
                <w:rStyle w:val="659"/>
                <w:rFonts w:ascii="Arial" w:hAnsi="Arial" w:cs="Arial"/>
                <w:spacing w:val="-6"/>
                <w:sz w:val="12"/>
                <w:szCs w:val="12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1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Частота </w:t>
            </w:r>
            <w:r>
              <w:rPr>
                <w:rStyle w:val="660"/>
                <w:rFonts w:cs="Arial"/>
                <w:spacing w:val="-6"/>
                <w:sz w:val="12"/>
                <w:szCs w:val="12"/>
                <w:lang w:val="en-US"/>
              </w:rPr>
              <w:t xml:space="preserve">fn, 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Гц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50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spacing w:line="240" w:lineRule="auto"/>
              <w:widowControl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Число полюсов</w:t>
            </w:r>
            <w:r>
              <w:rPr>
                <w:sz w:val="12"/>
                <w:szCs w:val="12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1, 2, 3, 4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Номинальное рабочее напряжение, Un, B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230/400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Номинальный разрядный ток 8/20 мкс, In, кА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30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15/20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5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ind w:firstLine="5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Максимальный разрядный ток 8/20 мкс, Imax, кА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60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30/40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10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ind w:firstLine="5"/>
              <w:widowControl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Номинальный ток защищаемого предохранителя или автоматического выключателя</w:t>
            </w:r>
            <w:r>
              <w:rPr>
                <w:sz w:val="12"/>
                <w:szCs w:val="12"/>
              </w:rPr>
              <w:t xml:space="preserve">, А</w:t>
            </w:r>
            <w:r>
              <w:rPr>
                <w:sz w:val="12"/>
                <w:szCs w:val="12"/>
              </w:rPr>
            </w:r>
            <w:r>
              <w:rPr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63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32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16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5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ind w:firstLine="5"/>
              <w:spacing w:line="115" w:lineRule="exact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Уровень напряжения защиты, кВ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&lt; 2.0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&lt; 1.8</w:t>
            </w:r>
            <w:r>
              <w:rPr>
                <w:rStyle w:val="660"/>
                <w:rFonts w:cs="Arial"/>
                <w:spacing w:val="-6"/>
                <w:sz w:val="12"/>
                <w:szCs w:val="12"/>
              </w:rPr>
            </w:r>
          </w:p>
        </w:tc>
        <w:tc>
          <w:tcPr>
            <w:tcW w:w="425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cs="Arial"/>
                <w:spacing w:val="-6"/>
                <w:sz w:val="12"/>
                <w:szCs w:val="12"/>
                <w:lang w:val="en-US"/>
              </w:rPr>
            </w:pPr>
            <w:r>
              <w:rPr>
                <w:rStyle w:val="660"/>
                <w:rFonts w:cs="Arial"/>
                <w:spacing w:val="-6"/>
                <w:sz w:val="12"/>
                <w:szCs w:val="12"/>
              </w:rPr>
              <w:t xml:space="preserve">&lt; 1.2</w:t>
            </w:r>
            <w:r>
              <w:rPr>
                <w:rStyle w:val="660"/>
                <w:rFonts w:cs="Arial"/>
                <w:spacing w:val="-6"/>
                <w:sz w:val="12"/>
                <w:szCs w:val="12"/>
                <w:lang w:val="en-US"/>
              </w:rPr>
            </w:r>
            <w:r>
              <w:rPr>
                <w:rStyle w:val="660"/>
                <w:rFonts w:cs="Arial"/>
                <w:spacing w:val="-6"/>
                <w:sz w:val="12"/>
                <w:szCs w:val="12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 w:val="12"/>
                <w:szCs w:val="12"/>
                <w:vertAlign w:val="superscript"/>
              </w:rPr>
            </w:pP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  <w:t xml:space="preserve">Сечение подключаемого провода, мм</w:t>
            </w: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  <w:vertAlign w:val="superscript"/>
              </w:rPr>
              <w:t xml:space="preserve">2</w:t>
            </w: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  <w:vertAlign w:val="superscript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  <w:t xml:space="preserve">2,5 - 25</w:t>
            </w: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57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</w:pP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  <w:t xml:space="preserve">Степень защиты</w:t>
            </w: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57"/>
              <w:jc w:val="center"/>
              <w:spacing w:line="240" w:lineRule="auto"/>
              <w:widowControl/>
              <w:rPr>
                <w:rStyle w:val="660"/>
                <w:rFonts w:ascii="Arial" w:hAnsi="Arial" w:cs="Arial"/>
                <w:spacing w:val="-6"/>
                <w:sz w:val="12"/>
                <w:szCs w:val="12"/>
                <w:lang w:eastAsia="en-US"/>
              </w:rPr>
            </w:pP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  <w:lang w:val="en-US" w:eastAsia="en-US"/>
              </w:rPr>
              <w:t xml:space="preserve">IP</w:t>
            </w: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  <w:lang w:eastAsia="en-US"/>
              </w:rPr>
              <w:t xml:space="preserve">20</w:t>
            </w:r>
            <w:r>
              <w:rPr>
                <w:rStyle w:val="660"/>
                <w:rFonts w:ascii="Arial" w:hAnsi="Arial" w:cs="Arial"/>
                <w:spacing w:val="-6"/>
                <w:sz w:val="12"/>
                <w:szCs w:val="1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33"/>
              <w:widowControl/>
              <w:rPr>
                <w:rFonts w:eastAsia="Calibri"/>
                <w:spacing w:val="-6"/>
                <w:sz w:val="12"/>
                <w:szCs w:val="12"/>
                <w:lang w:bidi="ar-SA"/>
              </w:rPr>
            </w:pPr>
            <w:r>
              <w:rPr>
                <w:rFonts w:eastAsia="Calibri"/>
                <w:spacing w:val="-6"/>
                <w:sz w:val="12"/>
                <w:szCs w:val="12"/>
                <w:lang w:bidi="ar-SA"/>
              </w:rPr>
              <w:t xml:space="preserve">Климатическое исполнение</w:t>
            </w:r>
            <w:r>
              <w:rPr>
                <w:rFonts w:eastAsia="Calibri"/>
                <w:spacing w:val="-6"/>
                <w:sz w:val="12"/>
                <w:szCs w:val="12"/>
                <w:lang w:bidi="ar-SA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widowControl/>
              <w:rPr>
                <w:rFonts w:eastAsia="Calibri"/>
                <w:spacing w:val="-6"/>
                <w:sz w:val="12"/>
                <w:szCs w:val="12"/>
                <w:lang w:eastAsia="en-US" w:bidi="ar-SA"/>
              </w:rPr>
            </w:pPr>
            <w:r>
              <w:rPr>
                <w:rFonts w:eastAsia="Calibri"/>
                <w:spacing w:val="-6"/>
                <w:sz w:val="12"/>
                <w:szCs w:val="12"/>
                <w:lang w:eastAsia="en-US" w:bidi="ar-SA"/>
              </w:rPr>
              <w:t xml:space="preserve">УХЛ 4</w:t>
            </w:r>
            <w:r>
              <w:rPr>
                <w:rFonts w:eastAsia="Calibri"/>
                <w:spacing w:val="-6"/>
                <w:sz w:val="12"/>
                <w:szCs w:val="12"/>
                <w:lang w:eastAsia="en-US" w:bidi="ar-SA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6"/>
        </w:trPr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633"/>
              <w:rPr>
                <w:spacing w:val="-6"/>
                <w:sz w:val="12"/>
                <w:szCs w:val="12"/>
              </w:rPr>
            </w:pPr>
            <w:r>
              <w:rPr>
                <w:spacing w:val="-6"/>
                <w:sz w:val="12"/>
                <w:szCs w:val="12"/>
              </w:rPr>
              <w:t xml:space="preserve">Диапазон рабочих температур, °С</w:t>
            </w:r>
            <w:r>
              <w:rPr>
                <w:spacing w:val="-6"/>
                <w:sz w:val="12"/>
                <w:szCs w:val="12"/>
              </w:rPr>
            </w:r>
          </w:p>
        </w:tc>
        <w:tc>
          <w:tcPr>
            <w:gridSpan w:val="3"/>
            <w:tcW w:w="1276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pacing w:val="-6"/>
                <w:sz w:val="12"/>
                <w:szCs w:val="12"/>
              </w:rPr>
            </w:pPr>
            <w:r>
              <w:rPr>
                <w:spacing w:val="-6"/>
                <w:sz w:val="12"/>
                <w:szCs w:val="12"/>
              </w:rPr>
              <w:t xml:space="preserve">от -</w:t>
            </w:r>
            <w:r>
              <w:rPr>
                <w:spacing w:val="-6"/>
                <w:sz w:val="12"/>
                <w:szCs w:val="12"/>
                <w:lang w:val="en-US"/>
              </w:rPr>
              <w:t xml:space="preserve">40 </w:t>
            </w:r>
            <w:r>
              <w:rPr>
                <w:spacing w:val="-6"/>
                <w:sz w:val="12"/>
                <w:szCs w:val="12"/>
              </w:rPr>
              <w:t xml:space="preserve"> до </w:t>
            </w:r>
            <w:r>
              <w:rPr>
                <w:spacing w:val="-6"/>
                <w:sz w:val="12"/>
                <w:szCs w:val="12"/>
                <w:lang w:val="en-US"/>
              </w:rPr>
              <w:t xml:space="preserve">+8</w:t>
            </w:r>
            <w:r>
              <w:rPr>
                <w:spacing w:val="-6"/>
                <w:sz w:val="12"/>
                <w:szCs w:val="12"/>
              </w:rPr>
              <w:t xml:space="preserve">0</w:t>
            </w:r>
            <w:r>
              <w:rPr>
                <w:spacing w:val="-6"/>
                <w:sz w:val="12"/>
                <w:szCs w:val="12"/>
              </w:rPr>
            </w:r>
          </w:p>
        </w:tc>
      </w:tr>
    </w:tbl>
    <w:p>
      <w:pPr>
        <w:pStyle w:val="635"/>
        <w:numPr>
          <w:ilvl w:val="0"/>
          <w:numId w:val="2"/>
        </w:numPr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ОСОБЕННОСТИ ЭКСПЛУАТАЦИИ И МОНТАЖА</w:t>
      </w:r>
      <w:r>
        <w:rPr>
          <w:spacing w:val="-6"/>
        </w:rPr>
      </w:r>
      <w:r>
        <w:rPr>
          <w:spacing w:val="-6"/>
        </w:rPr>
      </w:r>
    </w:p>
    <w:p>
      <w:pPr>
        <w:pStyle w:val="633"/>
        <w:ind w:firstLine="100"/>
        <w:jc w:val="both"/>
        <w:widowControl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Монтаж и подключение ОП</w:t>
      </w:r>
      <w:r>
        <w:rPr>
          <w:rFonts w:ascii="Arial Narrow" w:hAnsi="Arial Narrow"/>
          <w:sz w:val="12"/>
          <w:szCs w:val="12"/>
        </w:rPr>
        <w:t xml:space="preserve">С-1</w:t>
      </w:r>
      <w:r>
        <w:rPr>
          <w:rFonts w:ascii="Arial Narrow" w:hAnsi="Arial Narrow"/>
          <w:sz w:val="12"/>
          <w:szCs w:val="12"/>
        </w:rPr>
        <w:t xml:space="preserve"> должны осуществляться квалифицированным электротехническим персоналом. </w:t>
      </w:r>
      <w:r>
        <w:rPr>
          <w:rFonts w:ascii="Arial Narrow" w:hAnsi="Arial Narrow"/>
          <w:sz w:val="12"/>
          <w:szCs w:val="12"/>
        </w:rPr>
      </w:r>
      <w:r>
        <w:rPr>
          <w:rFonts w:ascii="Arial Narrow" w:hAnsi="Arial Narrow"/>
          <w:sz w:val="12"/>
          <w:szCs w:val="12"/>
        </w:rPr>
      </w:r>
    </w:p>
    <w:p>
      <w:pPr>
        <w:pStyle w:val="633"/>
        <w:ind w:firstLine="100"/>
        <w:jc w:val="both"/>
        <w:widowControl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Ограничитель импульсных напряжений монтируется на DIN-рейку 35 мм. Момент затяжки винтов 2,5 Н•м. </w:t>
      </w:r>
      <w:r>
        <w:rPr>
          <w:rFonts w:ascii="Arial Narrow" w:hAnsi="Arial Narrow"/>
          <w:sz w:val="12"/>
          <w:szCs w:val="12"/>
        </w:rPr>
      </w:r>
      <w:r>
        <w:rPr>
          <w:rFonts w:ascii="Arial Narrow" w:hAnsi="Arial Narrow"/>
          <w:sz w:val="12"/>
          <w:szCs w:val="12"/>
        </w:rPr>
      </w:r>
    </w:p>
    <w:p>
      <w:pPr>
        <w:pStyle w:val="633"/>
        <w:ind w:firstLine="100"/>
        <w:jc w:val="both"/>
        <w:widowControl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Присоединение</w:t>
      </w:r>
      <w:r>
        <w:rPr>
          <w:rFonts w:ascii="Arial Narrow" w:hAnsi="Arial Narrow"/>
          <w:sz w:val="12"/>
          <w:szCs w:val="12"/>
        </w:rPr>
        <w:t xml:space="preserve">:</w:t>
      </w:r>
      <w:r>
        <w:rPr>
          <w:rFonts w:ascii="Arial Narrow" w:hAnsi="Arial Narrow"/>
          <w:sz w:val="12"/>
          <w:szCs w:val="12"/>
        </w:rPr>
        <w:t xml:space="preserve"> </w:t>
      </w:r>
      <w:r>
        <w:rPr>
          <w:rFonts w:ascii="Arial Narrow" w:hAnsi="Arial Narrow"/>
          <w:sz w:val="12"/>
          <w:szCs w:val="12"/>
        </w:rPr>
        <w:t xml:space="preserve">к нижнему выводу ОПС-1</w:t>
      </w:r>
      <w:r>
        <w:rPr>
          <w:rFonts w:ascii="Arial Narrow" w:hAnsi="Arial Narrow"/>
          <w:sz w:val="12"/>
          <w:szCs w:val="12"/>
        </w:rPr>
        <w:t xml:space="preserve"> подключается нулевой защитный проводник (РЕ), к верхнему – нулевой рабочий проводник (N) или фазный проводник (L). В цепи ОП</w:t>
      </w:r>
      <w:r>
        <w:rPr>
          <w:rFonts w:ascii="Arial Narrow" w:hAnsi="Arial Narrow"/>
          <w:sz w:val="12"/>
          <w:szCs w:val="12"/>
        </w:rPr>
        <w:t xml:space="preserve">С-1</w:t>
      </w:r>
      <w:r>
        <w:rPr>
          <w:rFonts w:ascii="Arial Narrow" w:hAnsi="Arial Narrow"/>
          <w:sz w:val="12"/>
          <w:szCs w:val="12"/>
        </w:rPr>
        <w:t xml:space="preserve"> со стороны питающей сети должен быть установлен аппарат с функцией гарантированного отключения, например, автоматический выключатель, автоматический выключатель дифференциального тока или предохранитель.</w:t>
      </w:r>
      <w:r>
        <w:rPr>
          <w:rFonts w:ascii="Arial Narrow" w:hAnsi="Arial Narrow"/>
          <w:sz w:val="12"/>
          <w:szCs w:val="12"/>
        </w:rPr>
      </w:r>
      <w:r>
        <w:rPr>
          <w:rFonts w:ascii="Arial Narrow" w:hAnsi="Arial Narrow"/>
          <w:sz w:val="12"/>
          <w:szCs w:val="12"/>
        </w:rPr>
      </w:r>
    </w:p>
    <w:p>
      <w:pPr>
        <w:pStyle w:val="633"/>
        <w:ind w:firstLine="100"/>
        <w:jc w:val="both"/>
        <w:widowControl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 </w:t>
      </w:r>
      <w:r>
        <w:rPr>
          <w:rFonts w:ascii="Arial Narrow" w:hAnsi="Arial Narrow"/>
          <w:sz w:val="12"/>
          <w:szCs w:val="12"/>
        </w:rPr>
      </w:r>
      <w:r>
        <w:rPr>
          <w:rFonts w:ascii="Arial Narrow" w:hAnsi="Arial Narrow"/>
          <w:sz w:val="12"/>
          <w:szCs w:val="12"/>
        </w:rPr>
      </w:r>
    </w:p>
    <w:p>
      <w:pPr>
        <w:pStyle w:val="633"/>
        <w:ind w:firstLine="100"/>
        <w:jc w:val="both"/>
        <w:widowControl/>
        <w:rPr>
          <w:rFonts w:ascii="Arial Narrow" w:hAnsi="Arial Narrow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Таблица 4. Схема подключения ОПС-1</w:t>
      </w:r>
      <w:r>
        <w:rPr>
          <w:rFonts w:ascii="Arial Narrow" w:hAnsi="Arial Narrow"/>
          <w:sz w:val="12"/>
          <w:szCs w:val="12"/>
        </w:rPr>
      </w:r>
      <w:r>
        <w:rPr>
          <w:rFonts w:ascii="Arial Narrow" w:hAnsi="Arial Narrow"/>
          <w:sz w:val="12"/>
          <w:szCs w:val="12"/>
        </w:rPr>
      </w:r>
    </w:p>
    <w:p>
      <w:pPr>
        <w:pStyle w:val="633"/>
        <w:ind w:firstLine="100"/>
        <w:jc w:val="center"/>
        <w:widowControl/>
        <w:rPr>
          <w:rFonts w:ascii="Arial Narrow" w:hAnsi="Arial Narrow" w:eastAsia="Calibri" w:cs="Calibri"/>
          <w:spacing w:val="-6"/>
          <w:sz w:val="12"/>
          <w:szCs w:val="12"/>
          <w:lang w:bidi="ar-SA"/>
        </w:rPr>
      </w:pP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88972" cy="993009"/>
                <wp:effectExtent l="0" t="0" r="0" b="0"/>
                <wp:docPr id="3" name="_x0000_i14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288972" cy="9930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80.23pt;height:78.19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</w:p>
    <w:p>
      <w:pPr>
        <w:pStyle w:val="633"/>
        <w:ind w:firstLine="100"/>
        <w:widowControl/>
        <w:tabs>
          <w:tab w:val="left" w:pos="850" w:leader="none"/>
          <w:tab w:val="left" w:pos="1360" w:leader="none"/>
          <w:tab w:val="left" w:pos="1895" w:leader="none"/>
          <w:tab w:val="left" w:pos="2815" w:leader="none"/>
        </w:tabs>
        <w:rPr>
          <w:rFonts w:ascii="Arial Narrow" w:hAnsi="Arial Narrow" w:eastAsia="Calibri" w:cs="Calibri"/>
          <w:spacing w:val="-6"/>
          <w:sz w:val="12"/>
          <w:szCs w:val="12"/>
          <w:lang w:bidi="ar-SA"/>
        </w:rPr>
      </w:pP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  <w:tab/>
        <w:t xml:space="preserve">1Р</w:t>
        <w:tab/>
        <w:t xml:space="preserve">2Р                      3Р                                           4Р</w:t>
      </w: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</w:p>
    <w:p>
      <w:pPr>
        <w:pStyle w:val="633"/>
        <w:ind w:firstLine="100"/>
        <w:widowControl/>
        <w:tabs>
          <w:tab w:val="left" w:pos="850" w:leader="none"/>
          <w:tab w:val="left" w:pos="1360" w:leader="none"/>
          <w:tab w:val="left" w:pos="1895" w:leader="none"/>
          <w:tab w:val="left" w:pos="2815" w:leader="none"/>
        </w:tabs>
        <w:rPr>
          <w:rFonts w:ascii="Arial Narrow" w:hAnsi="Arial Narrow" w:eastAsia="Calibri" w:cs="Calibri"/>
          <w:spacing w:val="-6"/>
          <w:sz w:val="12"/>
          <w:szCs w:val="12"/>
          <w:lang w:bidi="ar-SA"/>
        </w:rPr>
      </w:pP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</w:p>
    <w:p>
      <w:pPr>
        <w:pStyle w:val="633"/>
        <w:ind w:firstLine="100"/>
        <w:widowControl/>
        <w:tabs>
          <w:tab w:val="left" w:pos="850" w:leader="none"/>
          <w:tab w:val="left" w:pos="1360" w:leader="none"/>
          <w:tab w:val="left" w:pos="1895" w:leader="none"/>
          <w:tab w:val="left" w:pos="2815" w:leader="none"/>
        </w:tabs>
        <w:rPr>
          <w:rFonts w:ascii="Arial Narrow" w:hAnsi="Arial Narrow" w:eastAsia="Calibri" w:cs="Calibri"/>
          <w:spacing w:val="-6"/>
          <w:sz w:val="12"/>
          <w:szCs w:val="12"/>
          <w:lang w:bidi="ar-SA"/>
        </w:rPr>
      </w:pP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</w:p>
    <w:p>
      <w:pPr>
        <w:pStyle w:val="633"/>
        <w:ind w:firstLine="100"/>
        <w:widowControl/>
        <w:tabs>
          <w:tab w:val="left" w:pos="850" w:leader="none"/>
          <w:tab w:val="left" w:pos="1360" w:leader="none"/>
          <w:tab w:val="left" w:pos="1895" w:leader="none"/>
          <w:tab w:val="left" w:pos="2815" w:leader="none"/>
        </w:tabs>
        <w:rPr>
          <w:rFonts w:ascii="Arial Narrow" w:hAnsi="Arial Narrow" w:eastAsia="Calibri" w:cs="Calibri"/>
          <w:spacing w:val="-6"/>
          <w:sz w:val="12"/>
          <w:szCs w:val="12"/>
          <w:lang w:bidi="ar-SA"/>
        </w:rPr>
      </w:pP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  <w:r>
        <w:rPr>
          <w:rFonts w:ascii="Arial Narrow" w:hAnsi="Arial Narrow" w:eastAsia="Calibri" w:cs="Calibri"/>
          <w:spacing w:val="-6"/>
          <w:sz w:val="12"/>
          <w:szCs w:val="12"/>
          <w:lang w:bidi="ar-SA"/>
        </w:rPr>
      </w:r>
    </w:p>
    <w:p>
      <w:pPr>
        <w:pStyle w:val="635"/>
        <w:numPr>
          <w:ilvl w:val="0"/>
          <w:numId w:val="2"/>
        </w:numPr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ГАБАРИТНЫЕ РАЗМЕРЫ</w:t>
      </w:r>
      <w:r>
        <w:rPr>
          <w:spacing w:val="-6"/>
        </w:rPr>
      </w:r>
    </w:p>
    <w:p>
      <w:pPr>
        <w:pStyle w:val="640"/>
        <w:ind w:left="0"/>
        <w:jc w:val="center"/>
        <w:spacing w:before="8"/>
        <w:rPr>
          <w:b/>
          <w:spacing w:val="-6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312304" cy="841553"/>
                <wp:effectExtent l="0" t="0" r="0" b="0"/>
                <wp:docPr id="4" name="_x0000_i142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312304" cy="841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03.33pt;height:66.26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pacing w:val="-6"/>
        </w:rPr>
      </w:r>
      <w:r>
        <w:rPr>
          <w:b/>
          <w:spacing w:val="-6"/>
        </w:rPr>
      </w:r>
    </w:p>
    <w:p>
      <w:pPr>
        <w:pStyle w:val="641"/>
        <w:numPr>
          <w:ilvl w:val="0"/>
          <w:numId w:val="2"/>
        </w:numPr>
        <w:spacing w:before="79"/>
        <w:tabs>
          <w:tab w:val="left" w:pos="222" w:leader="none"/>
        </w:tabs>
        <w:rPr>
          <w:b/>
          <w:spacing w:val="-6"/>
          <w:sz w:val="12"/>
          <w:szCs w:val="12"/>
        </w:rPr>
      </w:pPr>
      <w:r>
        <w:rPr>
          <w:b/>
          <w:spacing w:val="-6"/>
          <w:sz w:val="12"/>
          <w:szCs w:val="12"/>
        </w:rPr>
        <w:t xml:space="preserve">ТРЕБОВАНИЯ БЕЗОПАСНОСТИ</w:t>
      </w:r>
      <w:r>
        <w:rPr>
          <w:b/>
          <w:spacing w:val="-6"/>
          <w:sz w:val="12"/>
          <w:szCs w:val="12"/>
        </w:rPr>
      </w:r>
      <w:r>
        <w:rPr>
          <w:b/>
          <w:spacing w:val="-6"/>
          <w:sz w:val="12"/>
          <w:szCs w:val="12"/>
        </w:rPr>
      </w:r>
    </w:p>
    <w:p>
      <w:pPr>
        <w:pStyle w:val="653"/>
        <w:ind w:firstLine="0"/>
        <w:widowControl/>
        <w:rPr>
          <w:rFonts w:ascii="Arial" w:hAnsi="Arial" w:cs="Arial"/>
          <w:color w:val="000000"/>
          <w:spacing w:val="-6"/>
          <w:sz w:val="12"/>
          <w:szCs w:val="12"/>
        </w:rPr>
      </w:pPr>
      <w:r>
        <w:rPr>
          <w:rStyle w:val="655"/>
          <w:rFonts w:ascii="Arial" w:hAnsi="Arial" w:cs="Arial"/>
          <w:spacing w:val="-6"/>
          <w:sz w:val="12"/>
          <w:szCs w:val="12"/>
        </w:rPr>
        <w:t xml:space="preserve">5.</w:t>
      </w:r>
      <w:r>
        <w:rPr>
          <w:rStyle w:val="655"/>
          <w:rFonts w:cs="Arial"/>
          <w:spacing w:val="-6"/>
          <w:sz w:val="12"/>
          <w:szCs w:val="12"/>
        </w:rPr>
        <w:t xml:space="preserve">1 </w:t>
      </w:r>
      <w:r>
        <w:rPr>
          <w:sz w:val="12"/>
          <w:szCs w:val="12"/>
        </w:rPr>
        <w:t xml:space="preserve">ОПС-1</w:t>
      </w:r>
      <w:r>
        <w:rPr>
          <w:sz w:val="12"/>
          <w:szCs w:val="12"/>
        </w:rPr>
        <w:t xml:space="preserve">, имеющие внешние механические повреждения, эксплуатировать запрещено.</w:t>
      </w:r>
      <w:r>
        <w:rPr>
          <w:rFonts w:ascii="Arial" w:hAnsi="Arial" w:cs="Arial"/>
          <w:color w:val="000000"/>
          <w:spacing w:val="-6"/>
          <w:sz w:val="12"/>
          <w:szCs w:val="12"/>
        </w:rPr>
      </w:r>
      <w:r>
        <w:rPr>
          <w:rFonts w:ascii="Arial" w:hAnsi="Arial" w:cs="Arial"/>
          <w:color w:val="000000"/>
          <w:spacing w:val="-6"/>
          <w:sz w:val="12"/>
          <w:szCs w:val="12"/>
        </w:rPr>
      </w:r>
    </w:p>
    <w:p>
      <w:pPr>
        <w:pStyle w:val="653"/>
        <w:ind w:firstLine="0"/>
        <w:widowControl/>
        <w:rPr>
          <w:spacing w:val="-6"/>
          <w:sz w:val="12"/>
          <w:szCs w:val="12"/>
        </w:rPr>
      </w:pPr>
      <w:r>
        <w:rPr>
          <w:rFonts w:ascii="Arial" w:hAnsi="Arial" w:cs="Arial"/>
          <w:spacing w:val="-6"/>
          <w:sz w:val="12"/>
          <w:szCs w:val="12"/>
        </w:rPr>
        <w:t xml:space="preserve">5.2</w:t>
      </w:r>
      <w:r>
        <w:rPr>
          <w:rFonts w:ascii="Arial" w:hAnsi="Arial" w:cs="Arial"/>
          <w:spacing w:val="-6"/>
          <w:sz w:val="12"/>
          <w:szCs w:val="12"/>
        </w:rPr>
        <w:t xml:space="preserve"> </w:t>
      </w:r>
      <w:r>
        <w:rPr>
          <w:sz w:val="12"/>
          <w:szCs w:val="12"/>
        </w:rPr>
        <w:t xml:space="preserve">По способу защиты от поражения электрическим током ОП</w:t>
      </w:r>
      <w:r>
        <w:rPr>
          <w:sz w:val="12"/>
          <w:szCs w:val="12"/>
        </w:rPr>
        <w:t xml:space="preserve">С-1</w:t>
      </w:r>
      <w:r>
        <w:rPr>
          <w:sz w:val="12"/>
          <w:szCs w:val="12"/>
        </w:rPr>
        <w:t xml:space="preserve"> соответствуют классу защиты 0 по ГОСТ 12.2.007.0-75.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35"/>
        <w:numPr>
          <w:ilvl w:val="0"/>
          <w:numId w:val="2"/>
        </w:numPr>
        <w:spacing w:before="57"/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КОМПЛЕКТНОСТЬ</w: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0" w:firstLine="56"/>
        <w:jc w:val="both"/>
        <w:spacing w:line="249" w:lineRule="auto"/>
        <w:rPr>
          <w:rFonts w:ascii="Arial Narrow" w:hAnsi="Arial Narrow"/>
          <w:spacing w:val="-6"/>
        </w:rPr>
      </w:pPr>
      <w:r>
        <w:rPr>
          <w:rFonts w:ascii="Arial Narrow" w:hAnsi="Arial Narrow"/>
        </w:rPr>
        <w:t xml:space="preserve">Ограничители импульсных напряжений серии ОП</w:t>
      </w:r>
      <w:r>
        <w:rPr>
          <w:rFonts w:ascii="Arial Narrow" w:hAnsi="Arial Narrow"/>
        </w:rPr>
        <w:t xml:space="preserve">С-1 </w:t>
      </w:r>
      <w:r>
        <w:rPr>
          <w:rFonts w:ascii="Arial Narrow" w:hAnsi="Arial Narrow"/>
        </w:rPr>
        <w:t xml:space="preserve">поставляются в индивидуальной упаковке, паспорт – в 1 экземпляре на каждую упаковку.</w:t>
      </w:r>
      <w:r>
        <w:rPr>
          <w:rFonts w:ascii="Arial Narrow" w:hAnsi="Arial Narrow"/>
          <w:spacing w:val="-6"/>
        </w:rPr>
      </w:r>
      <w:r>
        <w:rPr>
          <w:rFonts w:ascii="Arial Narrow" w:hAnsi="Arial Narrow"/>
          <w:spacing w:val="-6"/>
        </w:rPr>
      </w:r>
    </w:p>
    <w:p>
      <w:pPr>
        <w:pStyle w:val="635"/>
        <w:numPr>
          <w:ilvl w:val="0"/>
          <w:numId w:val="2"/>
        </w:numPr>
        <w:ind w:left="0" w:firstLine="56"/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ТРАНСПОРТИРОВАНИЕ, ХРАНЕНИЕ </w:t>
      </w:r>
      <w:r>
        <w:rPr>
          <w:spacing w:val="-6"/>
        </w:rPr>
        <w:t xml:space="preserve">И </w:t>
      </w:r>
      <w:r>
        <w:rPr>
          <w:spacing w:val="-6"/>
        </w:rPr>
        <w:t xml:space="preserve">УТИЛИЗАЦИЯ</w:t>
      </w:r>
      <w:r>
        <w:rPr>
          <w:spacing w:val="-6"/>
        </w:rPr>
      </w:r>
      <w:r>
        <w:rPr>
          <w:spacing w:val="-6"/>
        </w:rPr>
      </w:r>
    </w:p>
    <w:p>
      <w:pPr>
        <w:pStyle w:val="641"/>
        <w:numPr>
          <w:ilvl w:val="1"/>
          <w:numId w:val="2"/>
        </w:numPr>
        <w:ind w:left="0" w:right="118" w:firstLine="0"/>
        <w:jc w:val="both"/>
        <w:spacing w:line="249" w:lineRule="auto"/>
        <w:tabs>
          <w:tab w:val="left" w:pos="142" w:leader="none"/>
        </w:tabs>
        <w:rPr>
          <w:rFonts w:ascii="Arial Narrow" w:hAnsi="Arial Narrow"/>
          <w:spacing w:val="-6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Транспортирование ОП</w:t>
      </w:r>
      <w:r>
        <w:rPr>
          <w:rFonts w:ascii="Arial Narrow" w:hAnsi="Arial Narrow"/>
          <w:sz w:val="12"/>
          <w:szCs w:val="12"/>
        </w:rPr>
        <w:t xml:space="preserve">С-1</w:t>
      </w:r>
      <w:r>
        <w:rPr>
          <w:rFonts w:ascii="Arial Narrow" w:hAnsi="Arial Narrow"/>
          <w:sz w:val="12"/>
          <w:szCs w:val="12"/>
        </w:rPr>
        <w:t xml:space="preserve"> может осуществляться любым видом закрытого транспорта, обеспечивающим предохранение упакованных изделий от механических воздействий и воздействий атмосферных осадков</w:t>
      </w:r>
      <w:r>
        <w:rPr>
          <w:rFonts w:ascii="Arial Narrow" w:hAnsi="Arial Narrow"/>
          <w:spacing w:val="-6"/>
          <w:sz w:val="12"/>
          <w:szCs w:val="12"/>
        </w:rPr>
        <w:t xml:space="preserve">.</w:t>
      </w:r>
      <w:r>
        <w:rPr>
          <w:rFonts w:ascii="Arial Narrow" w:hAnsi="Arial Narrow"/>
          <w:spacing w:val="-6"/>
          <w:sz w:val="12"/>
          <w:szCs w:val="12"/>
        </w:rPr>
      </w:r>
      <w:r>
        <w:rPr>
          <w:rFonts w:ascii="Arial Narrow" w:hAnsi="Arial Narrow"/>
          <w:spacing w:val="-6"/>
          <w:sz w:val="12"/>
          <w:szCs w:val="12"/>
        </w:rPr>
      </w:r>
    </w:p>
    <w:p>
      <w:pPr>
        <w:pStyle w:val="641"/>
        <w:numPr>
          <w:ilvl w:val="1"/>
          <w:numId w:val="2"/>
        </w:numPr>
        <w:ind w:left="0" w:right="118" w:firstLine="0"/>
        <w:jc w:val="both"/>
        <w:spacing w:line="249" w:lineRule="auto"/>
        <w:tabs>
          <w:tab w:val="left" w:pos="142" w:leader="none"/>
        </w:tabs>
        <w:rPr>
          <w:rFonts w:ascii="Arial Narrow" w:hAnsi="Arial Narrow"/>
          <w:spacing w:val="-6"/>
          <w:sz w:val="12"/>
          <w:szCs w:val="12"/>
        </w:rPr>
      </w:pPr>
      <w:r>
        <w:rPr>
          <w:rFonts w:ascii="Arial Narrow" w:hAnsi="Arial Narrow"/>
          <w:sz w:val="12"/>
          <w:szCs w:val="12"/>
        </w:rPr>
        <w:t xml:space="preserve">Хранение ОПС-1</w:t>
      </w:r>
      <w:r>
        <w:rPr>
          <w:rFonts w:ascii="Arial Narrow" w:hAnsi="Arial Narrow"/>
          <w:sz w:val="12"/>
          <w:szCs w:val="12"/>
        </w:rPr>
        <w:t xml:space="preserve"> должно осуществляться в упаковке производителя в закрытых помещениях при температуре окружающего воздуха от -40°С до +50°С и относительной влажности не более 85% при +25°С</w:t>
      </w:r>
      <w:r>
        <w:rPr>
          <w:rFonts w:ascii="Arial Narrow" w:hAnsi="Arial Narrow"/>
          <w:sz w:val="12"/>
          <w:szCs w:val="12"/>
        </w:rPr>
        <w:t xml:space="preserve">.</w:t>
      </w:r>
      <w:r>
        <w:rPr>
          <w:rFonts w:ascii="Arial Narrow" w:hAnsi="Arial Narrow"/>
          <w:spacing w:val="-6"/>
          <w:sz w:val="12"/>
          <w:szCs w:val="12"/>
        </w:rPr>
      </w:r>
      <w:r>
        <w:rPr>
          <w:rFonts w:ascii="Arial Narrow" w:hAnsi="Arial Narrow"/>
          <w:spacing w:val="-6"/>
          <w:sz w:val="12"/>
          <w:szCs w:val="12"/>
        </w:rPr>
      </w:r>
    </w:p>
    <w:p>
      <w:pPr>
        <w:pStyle w:val="641"/>
        <w:numPr>
          <w:ilvl w:val="1"/>
          <w:numId w:val="2"/>
        </w:numPr>
        <w:ind w:left="0" w:firstLine="0"/>
        <w:spacing w:before="2"/>
        <w:tabs>
          <w:tab w:val="left" w:pos="142" w:leader="none"/>
        </w:tabs>
        <w:rPr>
          <w:spacing w:val="-6"/>
          <w:sz w:val="12"/>
          <w:szCs w:val="12"/>
        </w:rPr>
      </w:pPr>
      <w:r>
        <w:rPr>
          <w:spacing w:val="-6"/>
          <w:sz w:val="12"/>
          <w:szCs w:val="12"/>
        </w:rPr>
        <w:t xml:space="preserve">Утилизируются с обычными бытовыми отходами.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35"/>
        <w:numPr>
          <w:ilvl w:val="0"/>
          <w:numId w:val="2"/>
        </w:numPr>
        <w:ind w:left="0" w:firstLine="56"/>
        <w:spacing w:before="63"/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ОБСЛУЖИВАНИЕ</w:t>
      </w:r>
      <w:r>
        <w:rPr>
          <w:spacing w:val="-6"/>
        </w:rPr>
      </w:r>
      <w:r>
        <w:rPr>
          <w:spacing w:val="-6"/>
        </w:rPr>
      </w:r>
    </w:p>
    <w:p>
      <w:pPr>
        <w:pStyle w:val="635"/>
        <w:ind w:left="0" w:firstLine="0"/>
        <w:spacing w:before="63"/>
        <w:tabs>
          <w:tab w:val="left" w:pos="222" w:leader="none"/>
        </w:tabs>
        <w:rPr>
          <w:rFonts w:ascii="Arial Narrow" w:hAnsi="Arial Narrow"/>
          <w:b w:val="0"/>
          <w:spacing w:val="-6"/>
        </w:rPr>
      </w:pPr>
      <w:r>
        <w:rPr>
          <w:rFonts w:ascii="Arial Narrow" w:hAnsi="Arial Narrow"/>
          <w:b w:val="0"/>
        </w:rPr>
        <w:t xml:space="preserve">При техническом обслуживании ограничителя импульсных напряжений серии ОП</w:t>
      </w:r>
      <w:r>
        <w:rPr>
          <w:rFonts w:ascii="Arial Narrow" w:hAnsi="Arial Narrow"/>
          <w:b w:val="0"/>
        </w:rPr>
        <w:t xml:space="preserve">С-1</w:t>
      </w:r>
      <w:r>
        <w:rPr>
          <w:rFonts w:ascii="Arial Narrow" w:hAnsi="Arial Narrow"/>
          <w:b w:val="0"/>
        </w:rPr>
        <w:t xml:space="preserve"> необходимо соблюдать «Правила техники безопасности и технической эксплуатации электроустановок потребителей».</w:t>
      </w:r>
      <w:r>
        <w:rPr>
          <w:rFonts w:ascii="Arial Narrow" w:hAnsi="Arial Narrow"/>
          <w:b w:val="0"/>
          <w:spacing w:val="-6"/>
        </w:rPr>
      </w:r>
      <w:r>
        <w:rPr>
          <w:rFonts w:ascii="Arial Narrow" w:hAnsi="Arial Narrow"/>
          <w:b w:val="0"/>
          <w:spacing w:val="-6"/>
        </w:rPr>
      </w:r>
    </w:p>
    <w:p>
      <w:pPr>
        <w:pStyle w:val="635"/>
        <w:numPr>
          <w:ilvl w:val="0"/>
          <w:numId w:val="2"/>
        </w:numPr>
        <w:ind w:left="0" w:firstLine="56"/>
        <w:spacing w:before="63"/>
        <w:tabs>
          <w:tab w:val="left" w:pos="222" w:leader="none"/>
        </w:tabs>
        <w:rPr>
          <w:spacing w:val="-6"/>
        </w:rPr>
      </w:pPr>
      <w:r>
        <w:rPr>
          <w:spacing w:val="-6"/>
        </w:rPr>
        <w:t xml:space="preserve">ГАРАНТИЯ ИЗГОТОВИТЕЛЯ</w:t>
      </w:r>
      <w:r>
        <w:rPr>
          <w:spacing w:val="-6"/>
        </w:rPr>
      </w:r>
      <w:r>
        <w:rPr>
          <w:spacing w:val="-6"/>
        </w:rPr>
      </w:r>
    </w:p>
    <w:p>
      <w:pPr>
        <w:pStyle w:val="641"/>
        <w:numPr>
          <w:ilvl w:val="1"/>
          <w:numId w:val="2"/>
        </w:numPr>
        <w:ind w:left="0" w:right="118" w:firstLine="0"/>
        <w:jc w:val="both"/>
        <w:spacing w:line="249" w:lineRule="auto"/>
        <w:tabs>
          <w:tab w:val="left" w:pos="142" w:leader="none"/>
        </w:tabs>
        <w:rPr>
          <w:spacing w:val="-6"/>
          <w:sz w:val="12"/>
          <w:szCs w:val="12"/>
        </w:rPr>
      </w:pPr>
      <w:r>
        <w:rPr>
          <w:rStyle w:val="655"/>
          <w:rFonts w:ascii="Arial" w:hAnsi="Arial" w:cs="Arial"/>
          <w:spacing w:val="-6"/>
          <w:sz w:val="12"/>
          <w:szCs w:val="12"/>
        </w:rPr>
        <w:t xml:space="preserve">Изготовитель гарантирует соответствие </w:t>
      </w:r>
      <w:r>
        <w:rPr>
          <w:rStyle w:val="655"/>
          <w:rFonts w:ascii="Arial" w:hAnsi="Arial" w:cs="Arial"/>
          <w:spacing w:val="-6"/>
          <w:sz w:val="12"/>
          <w:szCs w:val="12"/>
        </w:rPr>
        <w:t xml:space="preserve">ограничителей импульсных перенапряжений </w:t>
      </w:r>
      <w:r>
        <w:rPr>
          <w:rStyle w:val="655"/>
          <w:rFonts w:ascii="Arial" w:hAnsi="Arial" w:cs="Arial"/>
          <w:spacing w:val="-6"/>
          <w:sz w:val="12"/>
          <w:szCs w:val="12"/>
        </w:rPr>
        <w:t xml:space="preserve">заявленным характеристикам при соблюдении потребителем условий эксплуатации, транспортирования и хранения</w:t>
      </w:r>
      <w:r>
        <w:rPr>
          <w:spacing w:val="-6"/>
          <w:sz w:val="12"/>
          <w:szCs w:val="12"/>
        </w:rPr>
        <w:t xml:space="preserve">.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41"/>
        <w:numPr>
          <w:ilvl w:val="1"/>
          <w:numId w:val="2"/>
        </w:numPr>
        <w:ind w:left="0" w:firstLine="0"/>
        <w:jc w:val="both"/>
        <w:spacing w:before="2"/>
        <w:tabs>
          <w:tab w:val="left" w:pos="142" w:leader="none"/>
        </w:tabs>
        <w:rPr>
          <w:spacing w:val="-6"/>
          <w:sz w:val="12"/>
          <w:szCs w:val="12"/>
        </w:rPr>
      </w:pPr>
      <w:r>
        <w:rPr>
          <w:spacing w:val="-6"/>
          <w:sz w:val="12"/>
          <w:szCs w:val="12"/>
        </w:rPr>
        <w:t xml:space="preserve">Гарантийный срок эксплуатации: </w:t>
      </w:r>
      <w:r>
        <w:rPr>
          <w:spacing w:val="-6"/>
          <w:sz w:val="12"/>
          <w:szCs w:val="12"/>
        </w:rPr>
        <w:t xml:space="preserve">2</w:t>
      </w:r>
      <w:r>
        <w:rPr>
          <w:spacing w:val="-6"/>
          <w:sz w:val="12"/>
          <w:szCs w:val="12"/>
        </w:rPr>
        <w:t xml:space="preserve"> года со дня продажи изделия.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41"/>
        <w:numPr>
          <w:ilvl w:val="1"/>
          <w:numId w:val="2"/>
        </w:numPr>
        <w:ind w:left="0" w:firstLine="0"/>
        <w:jc w:val="both"/>
        <w:tabs>
          <w:tab w:val="left" w:pos="142" w:leader="none"/>
        </w:tabs>
        <w:rPr>
          <w:spacing w:val="-6"/>
          <w:sz w:val="12"/>
          <w:szCs w:val="12"/>
        </w:rPr>
      </w:pPr>
      <w:r>
        <w:rPr>
          <w:spacing w:val="-6"/>
          <w:sz w:val="12"/>
          <w:szCs w:val="12"/>
        </w:rPr>
        <w:t xml:space="preserve">Срок службы: </w:t>
      </w:r>
      <w:r>
        <w:rPr>
          <w:spacing w:val="-6"/>
          <w:sz w:val="12"/>
          <w:szCs w:val="12"/>
        </w:rPr>
        <w:t xml:space="preserve">не менее 5</w:t>
      </w:r>
      <w:r>
        <w:rPr>
          <w:spacing w:val="-6"/>
          <w:sz w:val="12"/>
          <w:szCs w:val="12"/>
        </w:rPr>
        <w:t xml:space="preserve"> лет.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41"/>
        <w:numPr>
          <w:ilvl w:val="1"/>
          <w:numId w:val="2"/>
        </w:numPr>
        <w:ind w:left="0" w:firstLine="0"/>
        <w:jc w:val="both"/>
        <w:tabs>
          <w:tab w:val="left" w:pos="142" w:leader="none"/>
        </w:tabs>
        <w:rPr>
          <w:spacing w:val="-6"/>
          <w:sz w:val="12"/>
          <w:szCs w:val="12"/>
        </w:rPr>
      </w:pPr>
      <w:r>
        <w:rPr>
          <w:spacing w:val="-6"/>
          <w:sz w:val="12"/>
          <w:szCs w:val="12"/>
        </w:rPr>
        <w:t xml:space="preserve">Гарантийный срок хранения: </w:t>
      </w:r>
      <w:r>
        <w:rPr>
          <w:spacing w:val="-6"/>
          <w:sz w:val="12"/>
          <w:szCs w:val="12"/>
        </w:rPr>
        <w:t xml:space="preserve">не менее 10 лет</w:t>
      </w:r>
      <w:r>
        <w:rPr>
          <w:spacing w:val="-6"/>
          <w:sz w:val="12"/>
          <w:szCs w:val="12"/>
        </w:rPr>
        <w:t xml:space="preserve">.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41"/>
        <w:ind w:left="0" w:firstLine="0"/>
        <w:jc w:val="both"/>
        <w:tabs>
          <w:tab w:val="left" w:pos="142" w:leader="none"/>
        </w:tabs>
        <w:rPr>
          <w:spacing w:val="-6"/>
          <w:sz w:val="12"/>
          <w:szCs w:val="12"/>
        </w:rPr>
      </w:pP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35"/>
        <w:numPr>
          <w:ilvl w:val="0"/>
          <w:numId w:val="2"/>
        </w:numPr>
        <w:ind w:left="0" w:firstLine="56"/>
        <w:tabs>
          <w:tab w:val="left" w:pos="280" w:leader="none"/>
        </w:tabs>
        <w:rPr>
          <w:spacing w:val="-6"/>
        </w:rPr>
      </w:pPr>
      <w:r>
        <w:rPr>
          <w:bCs w:val="0"/>
          <w:spacing w:val="-6"/>
        </w:rPr>
        <w:t xml:space="preserve">ОТМЕТКА О ПРОДАЖЕ</w: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0" w:firstLine="56"/>
        <w:spacing w:before="7"/>
        <w:rPr>
          <w:spacing w:val="-6"/>
        </w:rPr>
      </w:pPr>
      <w:r>
        <w:rPr>
          <w:spacing w:val="-6"/>
        </w:rPr>
      </w:r>
      <w:r>
        <w:rPr>
          <w:spacing w:val="-6"/>
        </w:rPr>
      </w:r>
    </w:p>
    <w:p>
      <w:pPr>
        <w:pStyle w:val="640"/>
        <w:ind w:left="142" w:right="1280"/>
        <w:jc w:val="both"/>
        <w:spacing w:before="1" w:line="501" w:lineRule="auto"/>
        <w:tabs>
          <w:tab w:val="left" w:pos="2024" w:leader="none"/>
        </w:tabs>
        <w:rPr>
          <w:spacing w:val="-6"/>
        </w:rPr>
      </w:pPr>
      <w:r>
        <w:rPr>
          <w:spacing w:val="-6"/>
        </w:rPr>
        <w:t xml:space="preserve">Дата продажи «</w:t>
      </w:r>
      <w:r>
        <w:rPr>
          <w:spacing w:val="-6"/>
          <w:u w:val="single"/>
        </w:rPr>
        <w:t xml:space="preserve">   </w:t>
      </w:r>
      <w:r>
        <w:rPr>
          <w:spacing w:val="-6"/>
        </w:rPr>
        <w:t xml:space="preserve">»</w:t>
      </w:r>
      <w:r>
        <w:rPr>
          <w:spacing w:val="-6"/>
          <w:u w:val="single"/>
        </w:rPr>
        <w:t xml:space="preserve"> </w:t>
        <w:tab/>
      </w:r>
      <w:r>
        <w:rPr>
          <w:spacing w:val="-6"/>
        </w:rPr>
        <w:t xml:space="preserve">20</w:t>
      </w:r>
      <w:r>
        <w:rPr>
          <w:spacing w:val="-6"/>
          <w:u w:val="single"/>
        </w:rPr>
        <w:t xml:space="preserve"> </w:t>
      </w:r>
      <w:r>
        <w:rPr>
          <w:spacing w:val="-6"/>
        </w:rPr>
        <w:t xml:space="preserve">г. Подпись продавца</w: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142"/>
        <w:jc w:val="both"/>
        <w:spacing w:before="0" w:line="137" w:lineRule="exact"/>
        <w:rPr>
          <w:spacing w:val="-6"/>
        </w:rPr>
      </w:pPr>
      <w:r>
        <w:rPr>
          <w:spacing w:val="-6"/>
        </w:rPr>
        <w:t xml:space="preserve">Печать фирмы-продавца М.П.</w:t>
      </w:r>
      <w:r>
        <w:rPr>
          <w:spacing w:val="-6"/>
        </w:rPr>
      </w:r>
      <w:r>
        <w:rPr>
          <w:spacing w:val="-6"/>
        </w:rPr>
      </w:r>
    </w:p>
    <w:p>
      <w:pPr>
        <w:pStyle w:val="640"/>
        <w:ind w:left="0"/>
        <w:spacing w:before="0"/>
        <w:rPr>
          <w:spacing w:val="-6"/>
        </w:rPr>
      </w:pPr>
      <w:r>
        <w:rPr>
          <w:spacing w:val="-6"/>
        </w:rPr>
      </w:r>
      <w:r>
        <w:rPr>
          <w:spacing w:val="-6"/>
        </w:rPr>
      </w:r>
    </w:p>
    <w:p>
      <w:pPr>
        <w:pStyle w:val="640"/>
        <w:ind w:left="0"/>
        <w:spacing w:before="0"/>
        <w:rPr>
          <w:spacing w:val="-6"/>
        </w:rPr>
      </w:pPr>
      <w:r>
        <w:rPr>
          <w:spacing w:val="-6"/>
        </w:rPr>
      </w:r>
      <w:r>
        <w:rPr>
          <w:spacing w:val="-6"/>
        </w:rPr>
      </w:r>
    </w:p>
    <w:p>
      <w:pPr>
        <w:pStyle w:val="640"/>
        <w:ind w:left="0"/>
        <w:spacing w:before="4"/>
        <w:rPr>
          <w:spacing w:val="-6"/>
        </w:rPr>
      </w:pPr>
      <w:r>
        <w:rPr>
          <w:spacing w:val="-6"/>
        </w:rPr>
      </w:r>
      <w:r>
        <w:rPr>
          <w:spacing w:val="-6"/>
        </w:rPr>
      </w:r>
    </w:p>
    <w:p>
      <w:pPr>
        <w:pStyle w:val="633"/>
        <w:ind w:left="401" w:right="419"/>
        <w:jc w:val="center"/>
        <w:spacing w:before="29" w:line="249" w:lineRule="auto"/>
        <w:rPr>
          <w:spacing w:val="-6"/>
          <w:sz w:val="12"/>
          <w:szCs w:val="12"/>
          <w:lang w:val="en-US"/>
        </w:rPr>
      </w:pPr>
      <w:r>
        <w:rPr>
          <w:spacing w:val="-6"/>
          <w:sz w:val="12"/>
          <w:szCs w:val="12"/>
        </w:rPr>
        <w:t xml:space="preserve">Изготовитель</w:t>
      </w:r>
      <w:r>
        <w:rPr>
          <w:spacing w:val="-6"/>
          <w:sz w:val="12"/>
          <w:szCs w:val="12"/>
          <w:lang w:val="en-US"/>
        </w:rPr>
        <w:t xml:space="preserve">: </w:t>
      </w:r>
      <w:r>
        <w:rPr>
          <w:spacing w:val="-6"/>
          <w:sz w:val="12"/>
          <w:szCs w:val="12"/>
          <w:lang w:val="en-US"/>
        </w:rPr>
        <w:t xml:space="preserve">Tengen Group Co, Ltd, </w:t>
      </w:r>
      <w:r>
        <w:rPr>
          <w:spacing w:val="-6"/>
          <w:sz w:val="12"/>
          <w:szCs w:val="12"/>
          <w:lang w:val="en-US"/>
        </w:rPr>
      </w:r>
    </w:p>
    <w:p>
      <w:pPr>
        <w:pStyle w:val="633"/>
        <w:ind w:left="401" w:right="419"/>
        <w:jc w:val="center"/>
        <w:spacing w:before="29" w:line="249" w:lineRule="auto"/>
        <w:rPr>
          <w:spacing w:val="-6"/>
          <w:sz w:val="12"/>
          <w:szCs w:val="12"/>
          <w:lang w:val="en-US"/>
        </w:rPr>
      </w:pPr>
      <w:r>
        <w:rPr>
          <w:spacing w:val="-6"/>
          <w:sz w:val="12"/>
          <w:szCs w:val="12"/>
        </w:rPr>
        <w:t xml:space="preserve">Завод</w:t>
      </w:r>
      <w:r>
        <w:rPr>
          <w:spacing w:val="-6"/>
          <w:sz w:val="12"/>
          <w:szCs w:val="12"/>
          <w:lang w:val="en-US"/>
        </w:rPr>
        <w:t xml:space="preserve">: Zhejiang Tengen Electrics Co., Ltd, №332, Liule Road, Liu Shi Town, Yueqing City, Zhejiang Province, </w:t>
      </w:r>
      <w:r>
        <w:rPr>
          <w:spacing w:val="-6"/>
          <w:sz w:val="12"/>
          <w:szCs w:val="12"/>
        </w:rPr>
        <w:t xml:space="preserve">Китай</w:t>
      </w:r>
      <w:r>
        <w:rPr>
          <w:spacing w:val="-6"/>
          <w:sz w:val="12"/>
          <w:szCs w:val="12"/>
          <w:lang w:val="en-US"/>
        </w:rPr>
      </w:r>
      <w:r>
        <w:rPr>
          <w:spacing w:val="-6"/>
          <w:sz w:val="12"/>
          <w:szCs w:val="12"/>
          <w:lang w:val="en-US"/>
        </w:rPr>
      </w:r>
    </w:p>
    <w:p>
      <w:pPr>
        <w:pStyle w:val="633"/>
        <w:ind w:left="417" w:right="435" w:hanging="1"/>
        <w:jc w:val="center"/>
        <w:spacing w:before="30" w:line="249" w:lineRule="auto"/>
        <w:rPr>
          <w:spacing w:val="-6"/>
          <w:sz w:val="12"/>
          <w:szCs w:val="12"/>
        </w:rPr>
      </w:pPr>
      <w:r>
        <w:rPr>
          <w:spacing w:val="-6"/>
          <w:sz w:val="12"/>
          <w:szCs w:val="12"/>
        </w:rPr>
        <w:t xml:space="preserve">Уполномоченное изготовителем лицо: </w:t>
      </w:r>
      <w:r>
        <w:rPr>
          <w:spacing w:val="-6"/>
          <w:sz w:val="12"/>
          <w:szCs w:val="12"/>
        </w:rPr>
        <w:t xml:space="preserve">ООО "Нова систем", Республика Беларусь, 220114, г.Минск, ул. Ф.Скорины, д 14, к. 300</w: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33"/>
        <w:ind w:left="304" w:right="322"/>
        <w:jc w:val="center"/>
        <w:spacing w:before="34" w:line="249" w:lineRule="auto"/>
        <w:rPr>
          <w:spacing w:val="-6"/>
          <w:sz w:val="12"/>
          <w:szCs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58" behindDoc="1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80645</wp:posOffset>
                </wp:positionV>
                <wp:extent cx="722630" cy="722630"/>
                <wp:effectExtent l="0" t="0" r="0" b="0"/>
                <wp:wrapNone/>
                <wp:docPr id="5" name="_x0000_s141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2630" cy="722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-250609658;o:allowoverlap:true;o:allowincell:true;mso-position-horizontal-relative:text;margin-left:106.50pt;mso-position-horizontal:absolute;mso-position-vertical-relative:text;margin-top:6.35pt;mso-position-vertical:absolute;width:56.90pt;height:56.9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spacing w:val="-6"/>
          <w:sz w:val="12"/>
          <w:szCs w:val="12"/>
        </w:rPr>
        <w:t xml:space="preserve">Импортер: </w:t>
      </w:r>
      <w:r>
        <w:rPr>
          <w:spacing w:val="-6"/>
          <w:sz w:val="12"/>
          <w:szCs w:val="12"/>
        </w:rPr>
        <w:t xml:space="preserve">ООО "Нова систем", Республика Беларусь, 220114, г.Минск, ул. Ф.Скорины, д 14, к. 300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59" behindDoc="1" locked="0" layoutInCell="1" allowOverlap="1">
                <wp:simplePos x="0" y="0"/>
                <wp:positionH relativeFrom="column">
                  <wp:posOffset>4827270</wp:posOffset>
                </wp:positionH>
                <wp:positionV relativeFrom="paragraph">
                  <wp:posOffset>3228340</wp:posOffset>
                </wp:positionV>
                <wp:extent cx="1993265" cy="1993265"/>
                <wp:effectExtent l="0" t="0" r="0" b="0"/>
                <wp:wrapNone/>
                <wp:docPr id="6" name="_x0000_s14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993265" cy="199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-250609659;o:allowoverlap:true;o:allowincell:true;mso-position-horizontal-relative:text;margin-left:380.10pt;mso-position-horizontal:absolute;mso-position-vertical-relative:text;margin-top:254.20pt;mso-position-vertical:absolute;width:156.95pt;height:156.95pt;mso-wrap-distance-left:9.00pt;mso-wrap-distance-top:0.00pt;mso-wrap-distance-right:9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spacing w:val="-6"/>
          <w:sz w:val="12"/>
          <w:szCs w:val="12"/>
        </w:rPr>
      </w:r>
      <w:r>
        <w:rPr>
          <w:spacing w:val="-6"/>
          <w:sz w:val="12"/>
          <w:szCs w:val="12"/>
        </w:rPr>
      </w:r>
    </w:p>
    <w:p>
      <w:pPr>
        <w:pStyle w:val="640"/>
        <w:ind w:left="0"/>
        <w:rPr>
          <w:spacing w:val="-6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1" behindDoc="1" locked="0" layoutInCell="1" allowOverlap="1">
                <wp:simplePos x="0" y="0"/>
                <wp:positionH relativeFrom="column">
                  <wp:posOffset>4827270</wp:posOffset>
                </wp:positionH>
                <wp:positionV relativeFrom="paragraph">
                  <wp:posOffset>3228340</wp:posOffset>
                </wp:positionV>
                <wp:extent cx="1993265" cy="1993265"/>
                <wp:effectExtent l="0" t="0" r="0" b="0"/>
                <wp:wrapNone/>
                <wp:docPr id="7" name="_x0000_s14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993265" cy="199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-250609661;o:allowoverlap:true;o:allowincell:true;mso-position-horizontal-relative:text;margin-left:380.10pt;mso-position-horizontal:absolute;mso-position-vertical-relative:text;margin-top:254.20pt;mso-position-vertical:absolute;width:156.95pt;height:156.95pt;mso-wrap-distance-left:9.00pt;mso-wrap-distance-top:0.00pt;mso-wrap-distance-right:9.00pt;mso-wrap-distance-bottom:0.00pt;" stroked="f">
                <v:path textboxrect="0,0,0,0"/>
                <v:imagedata r:id="rId16" o:title=""/>
              </v:shape>
            </w:pict>
          </mc:Fallback>
        </mc:AlternateConten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2" behindDoc="1" locked="0" layoutInCell="1" allowOverlap="1">
                <wp:simplePos x="0" y="0"/>
                <wp:positionH relativeFrom="column">
                  <wp:posOffset>3780790</wp:posOffset>
                </wp:positionH>
                <wp:positionV relativeFrom="paragraph">
                  <wp:posOffset>3854450</wp:posOffset>
                </wp:positionV>
                <wp:extent cx="584835" cy="535305"/>
                <wp:effectExtent l="0" t="0" r="0" b="0"/>
                <wp:wrapNone/>
                <wp:docPr id="8" name="_x0000_s14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84835" cy="535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-250609662;o:allowoverlap:true;o:allowincell:true;mso-position-horizontal-relative:text;margin-left:297.70pt;mso-position-horizontal:absolute;mso-position-vertical-relative:text;margin-top:303.50pt;mso-position-vertical:absolute;width:46.05pt;height:42.15pt;mso-wrap-distance-left:9.00pt;mso-wrap-distance-top:0.00pt;mso-wrap-distance-right:9.00pt;mso-wrap-distance-bottom:0.00pt;" stroked="f">
                <v:path textboxrect="0,0,0,0"/>
                <v:imagedata r:id="rId17" o:title=""/>
              </v:shape>
            </w:pict>
          </mc:Fallback>
        </mc:AlternateConten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3" behindDoc="1" locked="0" layoutInCell="1" allowOverlap="1">
                <wp:simplePos x="0" y="0"/>
                <wp:positionH relativeFrom="column">
                  <wp:posOffset>3780790</wp:posOffset>
                </wp:positionH>
                <wp:positionV relativeFrom="paragraph">
                  <wp:posOffset>3854450</wp:posOffset>
                </wp:positionV>
                <wp:extent cx="584835" cy="535305"/>
                <wp:effectExtent l="0" t="0" r="0" b="0"/>
                <wp:wrapNone/>
                <wp:docPr id="9" name="_x0000_s14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84835" cy="535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position:absolute;z-index:-250609663;o:allowoverlap:true;o:allowincell:true;mso-position-horizontal-relative:text;margin-left:297.70pt;mso-position-horizontal:absolute;mso-position-vertical-relative:text;margin-top:303.50pt;mso-position-vertical:absolute;width:46.05pt;height:42.15pt;mso-wrap-distance-left:9.00pt;mso-wrap-distance-top:0.00pt;mso-wrap-distance-right:9.00pt;mso-wrap-distance-bottom:0.00pt;" stroked="f">
                <v:path textboxrect="0,0,0,0"/>
                <v:imagedata r:id="rId18" o:title=""/>
              </v:shape>
            </w:pict>
          </mc:Fallback>
        </mc:AlternateContent>
      </w:r>
      <w:r>
        <w:rPr>
          <w:spacing w:val="-6"/>
        </w:rPr>
      </w:r>
      <w:r>
        <w:rPr>
          <w:spacing w:val="-6"/>
        </w:rPr>
      </w:r>
    </w:p>
    <w:p>
      <w:pPr>
        <w:pStyle w:val="633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57" behindDoc="1" locked="0" layoutInCell="1" allowOverlap="1">
                <wp:simplePos x="0" y="0"/>
                <wp:positionH relativeFrom="column">
                  <wp:posOffset>1246505</wp:posOffset>
                </wp:positionH>
                <wp:positionV relativeFrom="paragraph">
                  <wp:posOffset>36195</wp:posOffset>
                </wp:positionV>
                <wp:extent cx="241935" cy="221615"/>
                <wp:effectExtent l="0" t="0" r="0" b="0"/>
                <wp:wrapNone/>
                <wp:docPr id="10" name="_x0000_s141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41935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position:absolute;z-index:-250609657;o:allowoverlap:true;o:allowincell:true;mso-position-horizontal-relative:text;margin-left:98.15pt;mso-position-horizontal:absolute;mso-position-vertical-relative:text;margin-top:2.85pt;mso-position-vertical:absolute;width:19.05pt;height:17.45pt;mso-wrap-distance-left:9.00pt;mso-wrap-distance-top:0.00pt;mso-wrap-distance-right:9.00pt;mso-wrap-distance-bottom:0.00pt;" stroked="f">
                <v:path textboxrect="0,0,0,0"/>
                <v:imagedata r:id="rId19" o:title=""/>
              </v:shape>
            </w:pict>
          </mc:Fallback>
        </mc:AlternateContent>
      </w:r>
      <w:r/>
    </w:p>
    <w:p>
      <w:pPr>
        <w:pStyle w:val="633"/>
        <w:jc w:val="center"/>
      </w:pPr>
      <w:r/>
      <w:r/>
    </w:p>
    <w:p>
      <w:pPr>
        <w:pStyle w:val="633"/>
        <w:jc w:val="center"/>
      </w:pPr>
      <w:r/>
      <w:r/>
    </w:p>
    <w:p>
      <w:pPr>
        <w:pStyle w:val="633"/>
        <w:jc w:val="center"/>
      </w:pPr>
      <w:r/>
      <w:r/>
    </w:p>
    <w:p>
      <w:pPr>
        <w:pStyle w:val="633"/>
        <w:jc w:val="center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0" behindDoc="1" locked="0" layoutInCell="1" allowOverlap="1">
                <wp:simplePos x="0" y="0"/>
                <wp:positionH relativeFrom="column">
                  <wp:posOffset>4827270</wp:posOffset>
                </wp:positionH>
                <wp:positionV relativeFrom="paragraph">
                  <wp:posOffset>3228340</wp:posOffset>
                </wp:positionV>
                <wp:extent cx="1993265" cy="1993265"/>
                <wp:effectExtent l="0" t="0" r="0" b="0"/>
                <wp:wrapNone/>
                <wp:docPr id="11" name="_x0000_s14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1993265" cy="199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position:absolute;z-index:-250609660;o:allowoverlap:true;o:allowincell:true;mso-position-horizontal-relative:text;margin-left:380.10pt;mso-position-horizontal:absolute;mso-position-vertical-relative:text;margin-top:254.20pt;mso-position-vertical:absolute;width:156.95pt;height:156.95pt;mso-wrap-distance-left:9.00pt;mso-wrap-distance-top:0.00pt;mso-wrap-distance-right:9.00pt;mso-wrap-distance-bottom:0.00pt;" stroked="f">
                <v:path textboxrect="0,0,0,0"/>
                <v:imagedata r:id="rId20" o:title=""/>
              </v:shape>
            </w:pict>
          </mc:Fallback>
        </mc:AlternateContent>
      </w:r>
      <w:r/>
    </w:p>
    <w:sectPr>
      <w:footerReference w:type="default" r:id="rId9"/>
      <w:footnotePr/>
      <w:endnotePr/>
      <w:type w:val="nextPage"/>
      <w:pgSz w:w="4200" w:h="5960" w:orient="portrait"/>
      <w:pgMar w:top="142" w:right="220" w:bottom="0" w:left="240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PartnerCondensed">
    <w:panose1 w:val="020B0604030504040204"/>
  </w:font>
  <w:font w:name="Tahoma">
    <w:panose1 w:val="020B0604030504040204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Wingdings">
    <w:panose1 w:val="05010000000000000000"/>
  </w:font>
  <w:font w:name="Liberation Sans">
    <w:panose1 w:val="020B0604020202020204"/>
  </w:font>
  <w:font w:name="Arial Narrow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0"/>
      <w:ind w:left="0"/>
      <w:spacing w:before="0" w:line="14" w:lineRule="auto"/>
      <w:rPr>
        <w:sz w:val="2"/>
      </w:rPr>
    </w:pPr>
    <w:r>
      <w:rPr>
        <w:sz w:val="2"/>
      </w:rPr>
    </w:r>
    <w:r>
      <w:rPr>
        <w:sz w:val="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•"/>
      <w:lvlJc w:val="left"/>
      <w:pPr>
        <w:ind w:left="223" w:hanging="67"/>
      </w:pPr>
      <w:rPr>
        <w:rFonts w:ascii="Arial" w:hAnsi="Arial" w:eastAsia="Arial" w:cs="Arial"/>
        <w:color w:val="231f20"/>
        <w:sz w:val="12"/>
        <w:szCs w:val="12"/>
        <w:lang w:val="ru-RU" w:eastAsia="ru-RU" w:bidi="ru-RU"/>
      </w:rPr>
    </w:lvl>
    <w:lvl w:ilvl="1">
      <w:start w:val="0"/>
      <w:numFmt w:val="bullet"/>
      <w:isLgl w:val="false"/>
      <w:suff w:val="tab"/>
      <w:lvlText w:val="•"/>
      <w:lvlJc w:val="left"/>
      <w:pPr>
        <w:ind w:left="571" w:hanging="67"/>
      </w:pPr>
      <w:rPr>
        <w:lang w:val="ru-RU" w:eastAsia="ru-RU" w:bidi="ru-RU"/>
      </w:rPr>
    </w:lvl>
    <w:lvl w:ilvl="2">
      <w:start w:val="0"/>
      <w:numFmt w:val="bullet"/>
      <w:isLgl w:val="false"/>
      <w:suff w:val="tab"/>
      <w:lvlText w:val="•"/>
      <w:lvlJc w:val="left"/>
      <w:pPr>
        <w:ind w:left="923" w:hanging="67"/>
      </w:pPr>
      <w:rPr>
        <w:lang w:val="ru-RU" w:eastAsia="ru-RU" w:bidi="ru-RU"/>
      </w:rPr>
    </w:lvl>
    <w:lvl w:ilvl="3">
      <w:start w:val="0"/>
      <w:numFmt w:val="bullet"/>
      <w:isLgl w:val="false"/>
      <w:suff w:val="tab"/>
      <w:lvlText w:val="•"/>
      <w:lvlJc w:val="left"/>
      <w:pPr>
        <w:ind w:left="1274" w:hanging="67"/>
      </w:pPr>
      <w:rPr>
        <w:lang w:val="ru-RU" w:eastAsia="ru-RU" w:bidi="ru-RU"/>
      </w:rPr>
    </w:lvl>
    <w:lvl w:ilvl="4">
      <w:start w:val="0"/>
      <w:numFmt w:val="bullet"/>
      <w:isLgl w:val="false"/>
      <w:suff w:val="tab"/>
      <w:lvlText w:val="•"/>
      <w:lvlJc w:val="left"/>
      <w:pPr>
        <w:ind w:left="1626" w:hanging="67"/>
      </w:pPr>
      <w:rPr>
        <w:lang w:val="ru-RU" w:eastAsia="ru-RU" w:bidi="ru-RU"/>
      </w:rPr>
    </w:lvl>
    <w:lvl w:ilvl="5">
      <w:start w:val="0"/>
      <w:numFmt w:val="bullet"/>
      <w:isLgl w:val="false"/>
      <w:suff w:val="tab"/>
      <w:lvlText w:val="•"/>
      <w:lvlJc w:val="left"/>
      <w:pPr>
        <w:ind w:left="1977" w:hanging="67"/>
      </w:pPr>
      <w:rPr>
        <w:lang w:val="ru-RU" w:eastAsia="ru-RU" w:bidi="ru-RU"/>
      </w:rPr>
    </w:lvl>
    <w:lvl w:ilvl="6">
      <w:start w:val="0"/>
      <w:numFmt w:val="bullet"/>
      <w:isLgl w:val="false"/>
      <w:suff w:val="tab"/>
      <w:lvlText w:val="•"/>
      <w:lvlJc w:val="left"/>
      <w:pPr>
        <w:ind w:left="2329" w:hanging="67"/>
      </w:pPr>
      <w:rPr>
        <w:lang w:val="ru-RU" w:eastAsia="ru-RU" w:bidi="ru-RU"/>
      </w:rPr>
    </w:lvl>
    <w:lvl w:ilvl="7">
      <w:start w:val="0"/>
      <w:numFmt w:val="bullet"/>
      <w:isLgl w:val="false"/>
      <w:suff w:val="tab"/>
      <w:lvlText w:val="•"/>
      <w:lvlJc w:val="left"/>
      <w:pPr>
        <w:ind w:left="2680" w:hanging="67"/>
      </w:pPr>
      <w:rPr>
        <w:lang w:val="ru-RU" w:eastAsia="ru-RU" w:bidi="ru-RU"/>
      </w:rPr>
    </w:lvl>
    <w:lvl w:ilvl="8">
      <w:start w:val="0"/>
      <w:numFmt w:val="bullet"/>
      <w:isLgl w:val="false"/>
      <w:suff w:val="tab"/>
      <w:lvlText w:val="•"/>
      <w:lvlJc w:val="left"/>
      <w:pPr>
        <w:ind w:left="3032" w:hanging="67"/>
      </w:pPr>
      <w:rPr>
        <w:lang w:val="ru-RU" w:eastAsia="ru-RU" w:bidi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1" w:hanging="121"/>
      </w:pPr>
      <w:rPr>
        <w:rFonts w:ascii="Arial" w:hAnsi="Arial" w:eastAsia="Arial" w:cs="Arial"/>
        <w:b/>
        <w:bCs/>
        <w:color w:val="231f20"/>
        <w:spacing w:val="0"/>
        <w:sz w:val="12"/>
        <w:szCs w:val="12"/>
        <w:lang w:val="ru-RU" w:eastAsia="ru-RU" w:bidi="ru-RU"/>
      </w:rPr>
    </w:lvl>
    <w:lvl w:ilvl="1">
      <w:start w:val="1"/>
      <w:numFmt w:val="decimal"/>
      <w:isLgl w:val="false"/>
      <w:suff w:val="tab"/>
      <w:lvlText w:val="%1.%2"/>
      <w:lvlJc w:val="left"/>
      <w:pPr>
        <w:ind w:left="100" w:hanging="164"/>
      </w:pPr>
      <w:rPr>
        <w:rFonts w:ascii="Arial" w:hAnsi="Arial" w:eastAsia="Arial" w:cs="Arial"/>
        <w:color w:val="231f20"/>
        <w:sz w:val="12"/>
        <w:szCs w:val="12"/>
        <w:lang w:val="ru-RU" w:eastAsia="ru-RU" w:bidi="ru-RU"/>
      </w:rPr>
    </w:lvl>
    <w:lvl w:ilvl="2">
      <w:start w:val="0"/>
      <w:numFmt w:val="bullet"/>
      <w:isLgl w:val="false"/>
      <w:suff w:val="tab"/>
      <w:lvlText w:val="•"/>
      <w:lvlJc w:val="left"/>
      <w:pPr>
        <w:ind w:left="610" w:hanging="164"/>
      </w:pPr>
      <w:rPr>
        <w:lang w:val="ru-RU" w:eastAsia="ru-RU" w:bidi="ru-RU"/>
      </w:rPr>
    </w:lvl>
    <w:lvl w:ilvl="3">
      <w:start w:val="0"/>
      <w:numFmt w:val="bullet"/>
      <w:isLgl w:val="false"/>
      <w:suff w:val="tab"/>
      <w:lvlText w:val="•"/>
      <w:lvlJc w:val="left"/>
      <w:pPr>
        <w:ind w:left="1001" w:hanging="164"/>
      </w:pPr>
      <w:rPr>
        <w:lang w:val="ru-RU" w:eastAsia="ru-RU" w:bidi="ru-RU"/>
      </w:rPr>
    </w:lvl>
    <w:lvl w:ilvl="4">
      <w:start w:val="0"/>
      <w:numFmt w:val="bullet"/>
      <w:isLgl w:val="false"/>
      <w:suff w:val="tab"/>
      <w:lvlText w:val="•"/>
      <w:lvlJc w:val="left"/>
      <w:pPr>
        <w:ind w:left="1391" w:hanging="164"/>
      </w:pPr>
      <w:rPr>
        <w:lang w:val="ru-RU" w:eastAsia="ru-RU" w:bidi="ru-RU"/>
      </w:rPr>
    </w:lvl>
    <w:lvl w:ilvl="5">
      <w:start w:val="0"/>
      <w:numFmt w:val="bullet"/>
      <w:isLgl w:val="false"/>
      <w:suff w:val="tab"/>
      <w:lvlText w:val="•"/>
      <w:lvlJc w:val="left"/>
      <w:pPr>
        <w:ind w:left="1782" w:hanging="164"/>
      </w:pPr>
      <w:rPr>
        <w:lang w:val="ru-RU" w:eastAsia="ru-RU" w:bidi="ru-RU"/>
      </w:rPr>
    </w:lvl>
    <w:lvl w:ilvl="6">
      <w:start w:val="0"/>
      <w:numFmt w:val="bullet"/>
      <w:isLgl w:val="false"/>
      <w:suff w:val="tab"/>
      <w:lvlText w:val="•"/>
      <w:lvlJc w:val="left"/>
      <w:pPr>
        <w:ind w:left="2172" w:hanging="164"/>
      </w:pPr>
      <w:rPr>
        <w:lang w:val="ru-RU" w:eastAsia="ru-RU" w:bidi="ru-RU"/>
      </w:rPr>
    </w:lvl>
    <w:lvl w:ilvl="7">
      <w:start w:val="0"/>
      <w:numFmt w:val="bullet"/>
      <w:isLgl w:val="false"/>
      <w:suff w:val="tab"/>
      <w:lvlText w:val="•"/>
      <w:lvlJc w:val="left"/>
      <w:pPr>
        <w:ind w:left="2563" w:hanging="164"/>
      </w:pPr>
      <w:rPr>
        <w:lang w:val="ru-RU" w:eastAsia="ru-RU" w:bidi="ru-RU"/>
      </w:rPr>
    </w:lvl>
    <w:lvl w:ilvl="8">
      <w:start w:val="0"/>
      <w:numFmt w:val="bullet"/>
      <w:isLgl w:val="false"/>
      <w:suff w:val="tab"/>
      <w:lvlText w:val="•"/>
      <w:lvlJc w:val="left"/>
      <w:pPr>
        <w:ind w:left="2954" w:hanging="164"/>
      </w:pPr>
      <w:rPr>
        <w:lang w:val="ru-RU" w:eastAsia="ru-RU" w:bidi="ru-RU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•"/>
        <w:legacy w:legacy="1" w:legacyIndent="0" w:legacySpace="0"/>
        <w:lvlJc w:val="left"/>
        <w:pPr/>
        <w:rPr>
          <w:rFonts w:ascii="Arial Narrow" w:hAnsi="Arial Narrow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33"/>
    <w:next w:val="633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33"/>
    <w:next w:val="633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33"/>
    <w:next w:val="633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33"/>
    <w:next w:val="633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33"/>
    <w:next w:val="633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33"/>
    <w:next w:val="633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33"/>
    <w:next w:val="633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33"/>
    <w:next w:val="633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33"/>
    <w:next w:val="633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33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33"/>
    <w:next w:val="633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33"/>
    <w:next w:val="633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33"/>
    <w:next w:val="633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33"/>
    <w:next w:val="633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33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3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33"/>
    <w:next w:val="633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33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33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33"/>
    <w:next w:val="633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33"/>
    <w:next w:val="633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33"/>
    <w:next w:val="633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33"/>
    <w:next w:val="633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33"/>
    <w:next w:val="633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33"/>
    <w:next w:val="633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33"/>
    <w:next w:val="633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33"/>
    <w:next w:val="633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33"/>
    <w:next w:val="633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33"/>
    <w:next w:val="633"/>
    <w:uiPriority w:val="99"/>
    <w:unhideWhenUsed/>
    <w:pPr>
      <w:spacing w:after="0" w:afterAutospacing="0"/>
    </w:pPr>
  </w:style>
  <w:style w:type="paragraph" w:styleId="633" w:default="1">
    <w:name w:val="Normal"/>
    <w:next w:val="633"/>
    <w:link w:val="633"/>
    <w:uiPriority w:val="1"/>
    <w:qFormat/>
    <w:pPr>
      <w:widowControl w:val="off"/>
    </w:pPr>
    <w:rPr>
      <w:rFonts w:ascii="Arial" w:hAnsi="Arial" w:eastAsia="Arial" w:cs="Arial"/>
      <w:sz w:val="22"/>
      <w:szCs w:val="22"/>
      <w:lang w:val="ru-RU" w:eastAsia="ru-RU" w:bidi="ru-RU"/>
    </w:rPr>
  </w:style>
  <w:style w:type="paragraph" w:styleId="634">
    <w:name w:val="Заголовок 1"/>
    <w:basedOn w:val="633"/>
    <w:next w:val="634"/>
    <w:link w:val="633"/>
    <w:uiPriority w:val="1"/>
    <w:qFormat/>
    <w:pPr>
      <w:ind w:left="-240"/>
      <w:outlineLvl w:val="1"/>
    </w:pPr>
    <w:rPr>
      <w:rFonts w:ascii="Trebuchet MS" w:hAnsi="Trebuchet MS" w:eastAsia="Trebuchet MS" w:cs="Trebuchet MS"/>
      <w:sz w:val="20"/>
      <w:szCs w:val="20"/>
      <w:lang w:val="ru-RU" w:eastAsia="ru-RU" w:bidi="ru-RU"/>
    </w:rPr>
  </w:style>
  <w:style w:type="paragraph" w:styleId="635">
    <w:name w:val="Заголовок 2"/>
    <w:basedOn w:val="633"/>
    <w:next w:val="635"/>
    <w:link w:val="633"/>
    <w:uiPriority w:val="1"/>
    <w:qFormat/>
    <w:pPr>
      <w:ind w:left="221" w:hanging="121"/>
      <w:spacing w:before="79"/>
      <w:outlineLvl w:val="2"/>
    </w:pPr>
    <w:rPr>
      <w:rFonts w:ascii="Arial" w:hAnsi="Arial" w:eastAsia="Arial" w:cs="Arial"/>
      <w:b/>
      <w:bCs/>
      <w:sz w:val="12"/>
      <w:szCs w:val="12"/>
      <w:lang w:val="ru-RU" w:eastAsia="ru-RU" w:bidi="ru-RU"/>
    </w:rPr>
  </w:style>
  <w:style w:type="character" w:styleId="636">
    <w:name w:val="Основной шрифт абзаца"/>
    <w:next w:val="636"/>
    <w:link w:val="633"/>
    <w:uiPriority w:val="1"/>
    <w:semiHidden/>
    <w:unhideWhenUsed/>
  </w:style>
  <w:style w:type="table" w:styleId="637">
    <w:name w:val="Обычная таблица"/>
    <w:next w:val="637"/>
    <w:link w:val="633"/>
    <w:uiPriority w:val="99"/>
    <w:semiHidden/>
    <w:unhideWhenUsed/>
    <w:tblPr/>
  </w:style>
  <w:style w:type="numbering" w:styleId="638">
    <w:name w:val="Нет списка"/>
    <w:next w:val="638"/>
    <w:link w:val="633"/>
    <w:uiPriority w:val="99"/>
    <w:semiHidden/>
    <w:unhideWhenUsed/>
  </w:style>
  <w:style w:type="table" w:styleId="639">
    <w:name w:val="Table Normal"/>
    <w:next w:val="639"/>
    <w:link w:val="633"/>
    <w:uiPriority w:val="2"/>
    <w:semiHidden/>
    <w:unhideWhenUsed/>
    <w:qFormat/>
    <w:pPr>
      <w:widowControl w:val="off"/>
    </w:pPr>
    <w:rPr>
      <w:sz w:val="22"/>
      <w:szCs w:val="22"/>
      <w:lang w:val="en-US" w:eastAsia="en-US" w:bidi="ar-SA"/>
    </w:rPr>
    <w:tblPr/>
  </w:style>
  <w:style w:type="paragraph" w:styleId="640">
    <w:name w:val="Основной текст"/>
    <w:basedOn w:val="633"/>
    <w:next w:val="640"/>
    <w:link w:val="633"/>
    <w:uiPriority w:val="1"/>
    <w:qFormat/>
    <w:pPr>
      <w:ind w:left="100"/>
      <w:spacing w:before="6"/>
    </w:pPr>
    <w:rPr>
      <w:rFonts w:ascii="Arial" w:hAnsi="Arial" w:eastAsia="Arial" w:cs="Arial"/>
      <w:sz w:val="12"/>
      <w:szCs w:val="12"/>
      <w:lang w:val="ru-RU" w:eastAsia="ru-RU" w:bidi="ru-RU"/>
    </w:rPr>
  </w:style>
  <w:style w:type="paragraph" w:styleId="641">
    <w:name w:val="Абзац списка"/>
    <w:basedOn w:val="633"/>
    <w:next w:val="641"/>
    <w:link w:val="633"/>
    <w:uiPriority w:val="1"/>
    <w:qFormat/>
    <w:pPr>
      <w:ind w:left="221" w:hanging="121"/>
      <w:spacing w:before="6"/>
    </w:pPr>
    <w:rPr>
      <w:rFonts w:ascii="Arial" w:hAnsi="Arial" w:eastAsia="Arial" w:cs="Arial"/>
      <w:lang w:val="ru-RU" w:eastAsia="ru-RU" w:bidi="ru-RU"/>
    </w:rPr>
  </w:style>
  <w:style w:type="paragraph" w:styleId="642">
    <w:name w:val="Table Paragraph"/>
    <w:basedOn w:val="633"/>
    <w:next w:val="642"/>
    <w:link w:val="633"/>
    <w:uiPriority w:val="1"/>
    <w:qFormat/>
    <w:pPr>
      <w:ind w:left="51" w:right="56"/>
      <w:jc w:val="center"/>
      <w:spacing w:before="22"/>
    </w:pPr>
    <w:rPr>
      <w:rFonts w:ascii="Arial" w:hAnsi="Arial" w:eastAsia="Arial" w:cs="Arial"/>
      <w:lang w:val="ru-RU" w:eastAsia="ru-RU" w:bidi="ru-RU"/>
    </w:rPr>
  </w:style>
  <w:style w:type="paragraph" w:styleId="643">
    <w:name w:val="Текст выноски"/>
    <w:basedOn w:val="633"/>
    <w:next w:val="643"/>
    <w:link w:val="644"/>
    <w:uiPriority w:val="99"/>
    <w:semiHidden/>
    <w:unhideWhenUsed/>
    <w:rPr>
      <w:rFonts w:ascii="Tahoma" w:hAnsi="Tahoma" w:cs="Tahoma"/>
      <w:sz w:val="16"/>
      <w:szCs w:val="16"/>
    </w:rPr>
  </w:style>
  <w:style w:type="character" w:styleId="644">
    <w:name w:val="Текст выноски Знак"/>
    <w:next w:val="644"/>
    <w:link w:val="643"/>
    <w:uiPriority w:val="99"/>
    <w:semiHidden/>
    <w:rPr>
      <w:rFonts w:ascii="Tahoma" w:hAnsi="Tahoma" w:eastAsia="Arial" w:cs="Tahoma"/>
      <w:sz w:val="16"/>
      <w:szCs w:val="16"/>
      <w:lang w:val="ru-RU" w:eastAsia="ru-RU" w:bidi="ru-RU"/>
    </w:rPr>
  </w:style>
  <w:style w:type="paragraph" w:styleId="645">
    <w:name w:val="Верхний колонтитул"/>
    <w:basedOn w:val="633"/>
    <w:next w:val="645"/>
    <w:link w:val="6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46">
    <w:name w:val="Верхний колонтитул Знак"/>
    <w:next w:val="646"/>
    <w:link w:val="645"/>
    <w:uiPriority w:val="99"/>
    <w:rPr>
      <w:rFonts w:ascii="Arial" w:hAnsi="Arial" w:eastAsia="Arial" w:cs="Arial"/>
      <w:sz w:val="22"/>
      <w:szCs w:val="22"/>
      <w:lang w:bidi="ru-RU"/>
    </w:rPr>
  </w:style>
  <w:style w:type="paragraph" w:styleId="647">
    <w:name w:val="Нижний колонтитул"/>
    <w:basedOn w:val="633"/>
    <w:next w:val="647"/>
    <w:link w:val="6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48">
    <w:name w:val="Нижний колонтитул Знак"/>
    <w:next w:val="648"/>
    <w:link w:val="647"/>
    <w:uiPriority w:val="99"/>
    <w:rPr>
      <w:rFonts w:ascii="Arial" w:hAnsi="Arial" w:eastAsia="Arial" w:cs="Arial"/>
      <w:sz w:val="22"/>
      <w:szCs w:val="22"/>
      <w:lang w:bidi="ru-RU"/>
    </w:rPr>
  </w:style>
  <w:style w:type="paragraph" w:styleId="649">
    <w:name w:val="Style1"/>
    <w:basedOn w:val="633"/>
    <w:next w:val="649"/>
    <w:link w:val="633"/>
    <w:uiPriority w:val="99"/>
    <w:rPr>
      <w:rFonts w:ascii="Arial Narrow" w:hAnsi="Arial Narrow" w:eastAsia="Times New Roman" w:cs="Times New Roman"/>
      <w:sz w:val="24"/>
      <w:szCs w:val="24"/>
      <w:lang w:bidi="ar-SA"/>
    </w:rPr>
  </w:style>
  <w:style w:type="paragraph" w:styleId="650">
    <w:name w:val="Style2"/>
    <w:basedOn w:val="633"/>
    <w:next w:val="650"/>
    <w:link w:val="633"/>
    <w:uiPriority w:val="99"/>
    <w:pPr>
      <w:spacing w:line="192" w:lineRule="exact"/>
    </w:pPr>
    <w:rPr>
      <w:rFonts w:ascii="Arial Narrow" w:hAnsi="Arial Narrow" w:eastAsia="Times New Roman" w:cs="Times New Roman"/>
      <w:sz w:val="24"/>
      <w:szCs w:val="24"/>
      <w:lang w:bidi="ar-SA"/>
    </w:rPr>
  </w:style>
  <w:style w:type="character" w:styleId="651">
    <w:name w:val="Font Style18"/>
    <w:next w:val="651"/>
    <w:link w:val="633"/>
    <w:uiPriority w:val="99"/>
    <w:rPr>
      <w:rFonts w:ascii="Arial Narrow" w:hAnsi="Arial Narrow" w:cs="Arial Narrow"/>
      <w:b/>
      <w:bCs/>
      <w:sz w:val="18"/>
      <w:szCs w:val="18"/>
    </w:rPr>
  </w:style>
  <w:style w:type="character" w:styleId="652">
    <w:name w:val="Font Style19"/>
    <w:next w:val="652"/>
    <w:link w:val="633"/>
    <w:uiPriority w:val="99"/>
    <w:rPr>
      <w:rFonts w:ascii="Arial Narrow" w:hAnsi="Arial Narrow" w:cs="Arial Narrow"/>
      <w:sz w:val="14"/>
      <w:szCs w:val="14"/>
    </w:rPr>
  </w:style>
  <w:style w:type="paragraph" w:styleId="653">
    <w:name w:val="Style4"/>
    <w:basedOn w:val="633"/>
    <w:next w:val="653"/>
    <w:link w:val="633"/>
    <w:uiPriority w:val="99"/>
    <w:pPr>
      <w:ind w:firstLine="86"/>
      <w:jc w:val="both"/>
      <w:spacing w:line="120" w:lineRule="exact"/>
    </w:pPr>
    <w:rPr>
      <w:rFonts w:ascii="Arial Narrow" w:hAnsi="Arial Narrow" w:eastAsia="Times New Roman" w:cs="Times New Roman"/>
      <w:sz w:val="24"/>
      <w:szCs w:val="24"/>
      <w:lang w:bidi="ar-SA"/>
    </w:rPr>
  </w:style>
  <w:style w:type="paragraph" w:styleId="654">
    <w:name w:val="Style6"/>
    <w:basedOn w:val="633"/>
    <w:next w:val="654"/>
    <w:link w:val="633"/>
    <w:uiPriority w:val="99"/>
    <w:pPr>
      <w:ind w:hanging="62"/>
      <w:spacing w:line="120" w:lineRule="exact"/>
    </w:pPr>
    <w:rPr>
      <w:rFonts w:ascii="Arial Narrow" w:hAnsi="Arial Narrow" w:eastAsia="Times New Roman" w:cs="Times New Roman"/>
      <w:sz w:val="24"/>
      <w:szCs w:val="24"/>
      <w:lang w:bidi="ar-SA"/>
    </w:rPr>
  </w:style>
  <w:style w:type="character" w:styleId="655">
    <w:name w:val="Font Style24"/>
    <w:next w:val="655"/>
    <w:link w:val="633"/>
    <w:uiPriority w:val="99"/>
    <w:rPr>
      <w:rFonts w:ascii="Arial Narrow" w:hAnsi="Arial Narrow" w:cs="Arial Narrow"/>
      <w:sz w:val="10"/>
      <w:szCs w:val="10"/>
    </w:rPr>
  </w:style>
  <w:style w:type="paragraph" w:styleId="656">
    <w:name w:val="Style10"/>
    <w:basedOn w:val="633"/>
    <w:next w:val="656"/>
    <w:link w:val="633"/>
    <w:uiPriority w:val="99"/>
    <w:rPr>
      <w:rFonts w:ascii="Arial Narrow" w:hAnsi="Arial Narrow" w:eastAsia="Times New Roman" w:cs="Times New Roman"/>
      <w:sz w:val="24"/>
      <w:szCs w:val="24"/>
      <w:lang w:bidi="ar-SA"/>
    </w:rPr>
  </w:style>
  <w:style w:type="paragraph" w:styleId="657">
    <w:name w:val="Style11"/>
    <w:basedOn w:val="633"/>
    <w:next w:val="657"/>
    <w:link w:val="633"/>
    <w:uiPriority w:val="99"/>
    <w:pPr>
      <w:spacing w:line="110" w:lineRule="exact"/>
    </w:pPr>
    <w:rPr>
      <w:rFonts w:ascii="Arial Narrow" w:hAnsi="Arial Narrow" w:eastAsia="Times New Roman" w:cs="Times New Roman"/>
      <w:sz w:val="24"/>
      <w:szCs w:val="24"/>
      <w:lang w:bidi="ar-SA"/>
    </w:rPr>
  </w:style>
  <w:style w:type="character" w:styleId="658">
    <w:name w:val="Font Style21"/>
    <w:next w:val="658"/>
    <w:link w:val="633"/>
    <w:uiPriority w:val="99"/>
    <w:rPr>
      <w:rFonts w:ascii="Arial Narrow" w:hAnsi="Arial Narrow" w:cs="Arial Narrow"/>
      <w:smallCaps/>
      <w:sz w:val="10"/>
      <w:szCs w:val="10"/>
    </w:rPr>
  </w:style>
  <w:style w:type="character" w:styleId="659">
    <w:name w:val="Font Style22"/>
    <w:next w:val="659"/>
    <w:link w:val="633"/>
    <w:uiPriority w:val="99"/>
    <w:rPr>
      <w:rFonts w:ascii="Arial Narrow" w:hAnsi="Arial Narrow" w:cs="Arial Narrow"/>
      <w:b/>
      <w:bCs/>
      <w:sz w:val="10"/>
      <w:szCs w:val="10"/>
    </w:rPr>
  </w:style>
  <w:style w:type="character" w:styleId="660">
    <w:name w:val="Font Style25"/>
    <w:next w:val="660"/>
    <w:link w:val="633"/>
    <w:uiPriority w:val="99"/>
    <w:rPr>
      <w:rFonts w:ascii="Arial Narrow" w:hAnsi="Arial Narrow" w:cs="Arial Narrow"/>
      <w:sz w:val="10"/>
      <w:szCs w:val="10"/>
    </w:rPr>
  </w:style>
  <w:style w:type="paragraph" w:styleId="661">
    <w:name w:val="Style9"/>
    <w:basedOn w:val="633"/>
    <w:next w:val="661"/>
    <w:link w:val="633"/>
    <w:uiPriority w:val="99"/>
    <w:rPr>
      <w:rFonts w:ascii="Arial Narrow" w:hAnsi="Arial Narrow" w:eastAsia="Times New Roman" w:cs="Times New Roman"/>
      <w:sz w:val="24"/>
      <w:szCs w:val="24"/>
      <w:lang w:bidi="ar-SA"/>
    </w:rPr>
  </w:style>
  <w:style w:type="character" w:styleId="662">
    <w:name w:val="Font Style23"/>
    <w:next w:val="662"/>
    <w:link w:val="633"/>
    <w:uiPriority w:val="99"/>
    <w:rPr>
      <w:rFonts w:ascii="Arial Narrow" w:hAnsi="Arial Narrow" w:cs="Arial Narrow"/>
      <w:b/>
      <w:bCs/>
      <w:sz w:val="10"/>
      <w:szCs w:val="10"/>
    </w:rPr>
  </w:style>
  <w:style w:type="paragraph" w:styleId="663">
    <w:name w:val="Style13"/>
    <w:basedOn w:val="633"/>
    <w:next w:val="663"/>
    <w:link w:val="633"/>
    <w:uiPriority w:val="99"/>
    <w:rPr>
      <w:rFonts w:ascii="Arial Narrow" w:hAnsi="Arial Narrow" w:eastAsia="Times New Roman" w:cs="Times New Roman"/>
      <w:sz w:val="24"/>
      <w:szCs w:val="24"/>
      <w:lang w:bidi="ar-SA"/>
    </w:rPr>
  </w:style>
  <w:style w:type="paragraph" w:styleId="664">
    <w:name w:val="Style3"/>
    <w:basedOn w:val="633"/>
    <w:next w:val="664"/>
    <w:link w:val="633"/>
    <w:uiPriority w:val="99"/>
    <w:pPr>
      <w:jc w:val="center"/>
      <w:spacing w:line="115" w:lineRule="exact"/>
    </w:pPr>
    <w:rPr>
      <w:rFonts w:ascii="Arial Narrow" w:hAnsi="Arial Narrow" w:eastAsia="Times New Roman" w:cs="Times New Roman"/>
      <w:sz w:val="24"/>
      <w:szCs w:val="24"/>
      <w:lang w:bidi="ar-SA"/>
    </w:rPr>
  </w:style>
  <w:style w:type="paragraph" w:styleId="665">
    <w:name w:val="Pa3"/>
    <w:basedOn w:val="633"/>
    <w:next w:val="633"/>
    <w:link w:val="633"/>
    <w:uiPriority w:val="99"/>
    <w:pPr>
      <w:spacing w:line="111" w:lineRule="atLeast"/>
      <w:widowControl/>
    </w:pPr>
    <w:rPr>
      <w:rFonts w:ascii="PartnerCondensed" w:hAnsi="PartnerCondensed" w:eastAsia="Calibri" w:cs="Times New Roman"/>
      <w:sz w:val="24"/>
      <w:szCs w:val="24"/>
      <w:lang w:bidi="ar-SA"/>
    </w:rPr>
  </w:style>
  <w:style w:type="paragraph" w:styleId="666">
    <w:name w:val="Pa4"/>
    <w:basedOn w:val="633"/>
    <w:next w:val="633"/>
    <w:link w:val="633"/>
    <w:uiPriority w:val="99"/>
    <w:pPr>
      <w:spacing w:line="111" w:lineRule="atLeast"/>
      <w:widowControl/>
    </w:pPr>
    <w:rPr>
      <w:rFonts w:ascii="PartnerCondensed" w:hAnsi="PartnerCondensed" w:eastAsia="Calibri" w:cs="Times New Roman"/>
      <w:sz w:val="24"/>
      <w:szCs w:val="24"/>
      <w:lang w:bidi="ar-SA"/>
    </w:rPr>
  </w:style>
  <w:style w:type="character" w:styleId="1813" w:default="1">
    <w:name w:val="Default Paragraph Font"/>
    <w:uiPriority w:val="1"/>
    <w:semiHidden/>
    <w:unhideWhenUsed/>
  </w:style>
  <w:style w:type="numbering" w:styleId="1814" w:default="1">
    <w:name w:val="No List"/>
    <w:uiPriority w:val="99"/>
    <w:semiHidden/>
    <w:unhideWhenUsed/>
  </w:style>
  <w:style w:type="table" w:styleId="181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jpg"/><Relationship Id="rId11" Type="http://schemas.openxmlformats.org/officeDocument/2006/relationships/image" Target="media/image2.jpg"/><Relationship Id="rId12" Type="http://schemas.openxmlformats.org/officeDocument/2006/relationships/image" Target="media/image3.emf"/><Relationship Id="rId13" Type="http://schemas.openxmlformats.org/officeDocument/2006/relationships/image" Target="media/media1.sv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r7-office/2025.3.2.1000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Passport_VA 47-29_74x105_rus_Yueqing Xile.indd</dc:title>
  <dc:creator>Шишонок Сергей</dc:creator>
  <cp:lastModifiedBy>Яна Качковская</cp:lastModifiedBy>
  <cp:revision>5</cp:revision>
  <dcterms:created xsi:type="dcterms:W3CDTF">2019-01-08T07:22:00Z</dcterms:created>
  <dcterms:modified xsi:type="dcterms:W3CDTF">2026-02-10T08:54:16Z</dcterms:modified>
  <cp:version>1048576</cp:version>
</cp:coreProperties>
</file>